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8A" w:rsidRPr="00BD4651" w:rsidRDefault="00D76C8A" w:rsidP="00D76C8A">
      <w:pPr>
        <w:autoSpaceDE w:val="0"/>
        <w:autoSpaceDN w:val="0"/>
        <w:adjustRightInd w:val="0"/>
        <w:spacing w:line="276" w:lineRule="auto"/>
        <w:rPr>
          <w:sz w:val="22"/>
          <w:szCs w:val="22"/>
        </w:rPr>
      </w:pPr>
      <w:r w:rsidRPr="00BD4651">
        <w:rPr>
          <w:sz w:val="22"/>
          <w:szCs w:val="22"/>
          <w:u w:val="single"/>
        </w:rPr>
        <w:t>Project Lead:</w:t>
      </w:r>
      <w:r w:rsidRPr="00BD4651">
        <w:rPr>
          <w:sz w:val="22"/>
          <w:szCs w:val="22"/>
        </w:rPr>
        <w:t xml:space="preserve">   </w:t>
      </w:r>
      <w:proofErr w:type="spellStart"/>
      <w:r w:rsidRPr="00BD4651">
        <w:rPr>
          <w:sz w:val="22"/>
          <w:szCs w:val="22"/>
        </w:rPr>
        <w:t>Amal</w:t>
      </w:r>
      <w:proofErr w:type="spellEnd"/>
      <w:r w:rsidRPr="00BD4651">
        <w:rPr>
          <w:sz w:val="22"/>
          <w:szCs w:val="22"/>
        </w:rPr>
        <w:t xml:space="preserve"> K. </w:t>
      </w:r>
      <w:proofErr w:type="spellStart"/>
      <w:r w:rsidRPr="00BD4651">
        <w:rPr>
          <w:sz w:val="22"/>
          <w:szCs w:val="22"/>
        </w:rPr>
        <w:t>Mitra</w:t>
      </w:r>
      <w:proofErr w:type="spellEnd"/>
      <w:r w:rsidRPr="00BD4651">
        <w:rPr>
          <w:sz w:val="22"/>
          <w:szCs w:val="22"/>
        </w:rPr>
        <w:t xml:space="preserve">, Department of Community Health Sciences, The University of Southern Mississippi, Hattiesburg, MS 39406-0001, 601 266 5043, </w:t>
      </w:r>
      <w:proofErr w:type="gramStart"/>
      <w:r w:rsidRPr="00BD4651">
        <w:rPr>
          <w:sz w:val="22"/>
          <w:szCs w:val="22"/>
        </w:rPr>
        <w:t>amalmitra16@yahoo.com</w:t>
      </w:r>
      <w:proofErr w:type="gramEnd"/>
      <w:r w:rsidRPr="00BD4651">
        <w:rPr>
          <w:sz w:val="22"/>
          <w:szCs w:val="22"/>
        </w:rPr>
        <w:tab/>
      </w:r>
    </w:p>
    <w:p w:rsidR="00D76C8A" w:rsidRPr="00BD4651" w:rsidRDefault="00D76C8A" w:rsidP="00D76C8A">
      <w:pPr>
        <w:autoSpaceDE w:val="0"/>
        <w:autoSpaceDN w:val="0"/>
        <w:adjustRightInd w:val="0"/>
        <w:spacing w:line="276" w:lineRule="auto"/>
        <w:rPr>
          <w:sz w:val="22"/>
          <w:szCs w:val="22"/>
          <w:u w:val="single"/>
        </w:rPr>
      </w:pPr>
    </w:p>
    <w:p w:rsidR="00D76C8A" w:rsidRPr="00BD4651" w:rsidRDefault="00D76C8A" w:rsidP="00D76C8A">
      <w:pPr>
        <w:rPr>
          <w:sz w:val="22"/>
          <w:szCs w:val="22"/>
        </w:rPr>
      </w:pPr>
      <w:r w:rsidRPr="00BD4651">
        <w:rPr>
          <w:sz w:val="22"/>
          <w:szCs w:val="22"/>
          <w:u w:val="single"/>
        </w:rPr>
        <w:t>Title of Proposal:</w:t>
      </w:r>
      <w:r w:rsidRPr="00BD4651">
        <w:rPr>
          <w:sz w:val="22"/>
          <w:szCs w:val="22"/>
        </w:rPr>
        <w:t xml:space="preserve">  Public Health Impact of Gulf Oil Spill: Phase II- Health Need Assessment Using CASPER Tools and Health Education</w:t>
      </w:r>
    </w:p>
    <w:p w:rsidR="00D76C8A" w:rsidRPr="00BD4651" w:rsidRDefault="00D76C8A" w:rsidP="00D76C8A">
      <w:pPr>
        <w:autoSpaceDE w:val="0"/>
        <w:autoSpaceDN w:val="0"/>
        <w:adjustRightInd w:val="0"/>
        <w:spacing w:line="276" w:lineRule="auto"/>
        <w:rPr>
          <w:sz w:val="22"/>
          <w:szCs w:val="22"/>
        </w:rPr>
      </w:pPr>
    </w:p>
    <w:p w:rsidR="00D76C8A" w:rsidRPr="00BD4651" w:rsidRDefault="00D76C8A" w:rsidP="00D76C8A">
      <w:pPr>
        <w:autoSpaceDE w:val="0"/>
        <w:autoSpaceDN w:val="0"/>
        <w:adjustRightInd w:val="0"/>
        <w:spacing w:line="276" w:lineRule="auto"/>
        <w:rPr>
          <w:sz w:val="22"/>
          <w:szCs w:val="22"/>
        </w:rPr>
      </w:pPr>
      <w:r w:rsidRPr="00BD4651">
        <w:rPr>
          <w:sz w:val="22"/>
          <w:szCs w:val="22"/>
          <w:u w:val="single"/>
        </w:rPr>
        <w:t>Period of Performance of Research:</w:t>
      </w:r>
      <w:r w:rsidRPr="00BD4651">
        <w:rPr>
          <w:sz w:val="22"/>
          <w:szCs w:val="22"/>
        </w:rPr>
        <w:t xml:space="preserve">  </w:t>
      </w:r>
    </w:p>
    <w:p w:rsidR="00D76C8A" w:rsidRPr="00BD4651" w:rsidRDefault="00D76C8A" w:rsidP="00D76C8A">
      <w:pPr>
        <w:autoSpaceDE w:val="0"/>
        <w:autoSpaceDN w:val="0"/>
        <w:adjustRightInd w:val="0"/>
        <w:spacing w:line="276" w:lineRule="auto"/>
        <w:rPr>
          <w:i/>
          <w:sz w:val="22"/>
          <w:szCs w:val="22"/>
        </w:rPr>
      </w:pPr>
      <w:r w:rsidRPr="00BD4651">
        <w:rPr>
          <w:sz w:val="22"/>
          <w:szCs w:val="22"/>
        </w:rPr>
        <w:tab/>
        <w:t>Start: January 2011</w:t>
      </w:r>
    </w:p>
    <w:p w:rsidR="00D76C8A" w:rsidRPr="00BD4651" w:rsidRDefault="00D76C8A" w:rsidP="00D76C8A">
      <w:pPr>
        <w:autoSpaceDE w:val="0"/>
        <w:autoSpaceDN w:val="0"/>
        <w:adjustRightInd w:val="0"/>
        <w:spacing w:line="276" w:lineRule="auto"/>
        <w:rPr>
          <w:i/>
          <w:sz w:val="22"/>
          <w:szCs w:val="22"/>
        </w:rPr>
      </w:pPr>
      <w:r w:rsidRPr="00BD4651">
        <w:rPr>
          <w:sz w:val="22"/>
          <w:szCs w:val="22"/>
        </w:rPr>
        <w:tab/>
        <w:t>End:  December 31, 2011</w:t>
      </w:r>
    </w:p>
    <w:p w:rsidR="00D76C8A" w:rsidRPr="00BD4651" w:rsidRDefault="00D76C8A" w:rsidP="00D76C8A">
      <w:pPr>
        <w:autoSpaceDE w:val="0"/>
        <w:autoSpaceDN w:val="0"/>
        <w:adjustRightInd w:val="0"/>
        <w:spacing w:line="276" w:lineRule="auto"/>
        <w:rPr>
          <w:i/>
          <w:sz w:val="22"/>
          <w:szCs w:val="22"/>
        </w:rPr>
      </w:pPr>
    </w:p>
    <w:p w:rsidR="00D76C8A" w:rsidRPr="00BD4651" w:rsidRDefault="00D76C8A" w:rsidP="00D76C8A">
      <w:pPr>
        <w:autoSpaceDE w:val="0"/>
        <w:autoSpaceDN w:val="0"/>
        <w:adjustRightInd w:val="0"/>
        <w:spacing w:line="276" w:lineRule="auto"/>
        <w:rPr>
          <w:sz w:val="22"/>
          <w:szCs w:val="22"/>
        </w:rPr>
      </w:pPr>
      <w:r w:rsidRPr="00BD4651">
        <w:rPr>
          <w:sz w:val="22"/>
          <w:szCs w:val="22"/>
          <w:u w:val="single"/>
        </w:rPr>
        <w:t>Funding Request Level:</w:t>
      </w:r>
      <w:r w:rsidRPr="00BD4651">
        <w:rPr>
          <w:sz w:val="22"/>
          <w:szCs w:val="22"/>
        </w:rPr>
        <w:t xml:space="preserve"> $</w:t>
      </w:r>
      <w:r w:rsidR="006A7EA7" w:rsidRPr="00BD4651">
        <w:rPr>
          <w:sz w:val="22"/>
          <w:szCs w:val="22"/>
        </w:rPr>
        <w:t>64,795</w:t>
      </w:r>
      <w:r w:rsidR="00A46BF1" w:rsidRPr="00BD4651">
        <w:rPr>
          <w:sz w:val="22"/>
          <w:szCs w:val="22"/>
        </w:rPr>
        <w:t xml:space="preserve"> (including indirect cost of 4</w:t>
      </w:r>
      <w:r w:rsidR="00392292" w:rsidRPr="00BD4651">
        <w:rPr>
          <w:sz w:val="22"/>
          <w:szCs w:val="22"/>
        </w:rPr>
        <w:t>6.5</w:t>
      </w:r>
      <w:r w:rsidR="00A46BF1" w:rsidRPr="00BD4651">
        <w:rPr>
          <w:sz w:val="22"/>
          <w:szCs w:val="22"/>
        </w:rPr>
        <w:t>%)</w:t>
      </w:r>
    </w:p>
    <w:p w:rsidR="00D76C8A" w:rsidRPr="00BD4651" w:rsidRDefault="00D76C8A" w:rsidP="00D76C8A">
      <w:pPr>
        <w:autoSpaceDE w:val="0"/>
        <w:autoSpaceDN w:val="0"/>
        <w:adjustRightInd w:val="0"/>
        <w:spacing w:line="276" w:lineRule="auto"/>
        <w:rPr>
          <w:sz w:val="22"/>
          <w:szCs w:val="22"/>
        </w:rPr>
      </w:pPr>
    </w:p>
    <w:p w:rsidR="005A7AE1" w:rsidRPr="00BD4651" w:rsidRDefault="00D76C8A" w:rsidP="005A7AE1">
      <w:pPr>
        <w:tabs>
          <w:tab w:val="left" w:pos="720"/>
        </w:tabs>
        <w:autoSpaceDE w:val="0"/>
        <w:autoSpaceDN w:val="0"/>
        <w:adjustRightInd w:val="0"/>
        <w:spacing w:after="240" w:line="276" w:lineRule="auto"/>
        <w:rPr>
          <w:sz w:val="22"/>
          <w:szCs w:val="22"/>
        </w:rPr>
      </w:pPr>
      <w:r w:rsidRPr="00BD4651">
        <w:rPr>
          <w:sz w:val="22"/>
          <w:szCs w:val="22"/>
          <w:u w:val="single"/>
        </w:rPr>
        <w:t>Proposal Abstract:</w:t>
      </w:r>
      <w:r w:rsidRPr="00BD4651">
        <w:rPr>
          <w:sz w:val="22"/>
          <w:szCs w:val="22"/>
        </w:rPr>
        <w:t xml:space="preserve">  </w:t>
      </w:r>
    </w:p>
    <w:p w:rsidR="00D76C8A" w:rsidRPr="00BD4651" w:rsidRDefault="00D76C8A" w:rsidP="005A7AE1">
      <w:pPr>
        <w:tabs>
          <w:tab w:val="left" w:pos="720"/>
        </w:tabs>
        <w:autoSpaceDE w:val="0"/>
        <w:autoSpaceDN w:val="0"/>
        <w:adjustRightInd w:val="0"/>
        <w:spacing w:after="240" w:line="276" w:lineRule="auto"/>
        <w:rPr>
          <w:sz w:val="22"/>
          <w:szCs w:val="22"/>
        </w:rPr>
      </w:pPr>
      <w:r w:rsidRPr="00BD4651">
        <w:rPr>
          <w:color w:val="000000"/>
          <w:sz w:val="22"/>
          <w:szCs w:val="22"/>
        </w:rPr>
        <w:t xml:space="preserve">In the first phase of </w:t>
      </w:r>
      <w:r w:rsidR="009F6771" w:rsidRPr="00BD4651">
        <w:rPr>
          <w:color w:val="000000"/>
          <w:sz w:val="22"/>
          <w:szCs w:val="22"/>
        </w:rPr>
        <w:t xml:space="preserve">the study on public health </w:t>
      </w:r>
      <w:r w:rsidRPr="00BD4651">
        <w:rPr>
          <w:color w:val="000000"/>
          <w:sz w:val="22"/>
          <w:szCs w:val="22"/>
        </w:rPr>
        <w:t xml:space="preserve">impact of </w:t>
      </w:r>
      <w:r w:rsidR="009F6771" w:rsidRPr="00BD4651">
        <w:rPr>
          <w:color w:val="000000"/>
          <w:sz w:val="22"/>
          <w:szCs w:val="22"/>
        </w:rPr>
        <w:t xml:space="preserve">Gulf </w:t>
      </w:r>
      <w:r w:rsidRPr="00BD4651">
        <w:rPr>
          <w:color w:val="000000"/>
          <w:sz w:val="22"/>
          <w:szCs w:val="22"/>
        </w:rPr>
        <w:t xml:space="preserve">oil spill, we had identified certain group of population among the residents </w:t>
      </w:r>
      <w:r w:rsidR="009F6771" w:rsidRPr="00BD4651">
        <w:rPr>
          <w:color w:val="000000"/>
          <w:sz w:val="22"/>
          <w:szCs w:val="22"/>
        </w:rPr>
        <w:t>of</w:t>
      </w:r>
      <w:r w:rsidRPr="00BD4651">
        <w:rPr>
          <w:color w:val="000000"/>
          <w:sz w:val="22"/>
          <w:szCs w:val="22"/>
        </w:rPr>
        <w:t xml:space="preserve"> </w:t>
      </w:r>
      <w:r w:rsidR="00DE578A" w:rsidRPr="00BD4651">
        <w:rPr>
          <w:color w:val="000000"/>
          <w:sz w:val="22"/>
          <w:szCs w:val="22"/>
        </w:rPr>
        <w:t xml:space="preserve">the </w:t>
      </w:r>
      <w:r w:rsidRPr="00BD4651">
        <w:rPr>
          <w:color w:val="000000"/>
          <w:sz w:val="22"/>
          <w:szCs w:val="22"/>
        </w:rPr>
        <w:t xml:space="preserve">three </w:t>
      </w:r>
      <w:r w:rsidR="00310623" w:rsidRPr="00BD4651">
        <w:rPr>
          <w:color w:val="000000"/>
          <w:sz w:val="22"/>
          <w:szCs w:val="22"/>
        </w:rPr>
        <w:t>counties of</w:t>
      </w:r>
      <w:r w:rsidRPr="00BD4651">
        <w:rPr>
          <w:color w:val="000000"/>
          <w:sz w:val="22"/>
          <w:szCs w:val="22"/>
        </w:rPr>
        <w:t xml:space="preserve"> </w:t>
      </w:r>
      <w:r w:rsidR="009F6771" w:rsidRPr="00BD4651">
        <w:rPr>
          <w:color w:val="000000"/>
          <w:sz w:val="22"/>
          <w:szCs w:val="22"/>
        </w:rPr>
        <w:t>Gulf Coast and Biloxi, MS (</w:t>
      </w:r>
      <w:r w:rsidRPr="00BD4651">
        <w:rPr>
          <w:color w:val="000000"/>
          <w:sz w:val="22"/>
          <w:szCs w:val="22"/>
        </w:rPr>
        <w:t>Harrison, Jackson, and Hancock</w:t>
      </w:r>
      <w:r w:rsidR="009F6771" w:rsidRPr="00BD4651">
        <w:rPr>
          <w:color w:val="000000"/>
          <w:sz w:val="22"/>
          <w:szCs w:val="22"/>
        </w:rPr>
        <w:t>)</w:t>
      </w:r>
      <w:r w:rsidRPr="00BD4651">
        <w:rPr>
          <w:color w:val="000000"/>
          <w:sz w:val="22"/>
          <w:szCs w:val="22"/>
        </w:rPr>
        <w:t xml:space="preserve"> who </w:t>
      </w:r>
      <w:r w:rsidR="00992853" w:rsidRPr="00BD4651">
        <w:rPr>
          <w:color w:val="000000"/>
          <w:sz w:val="22"/>
          <w:szCs w:val="22"/>
        </w:rPr>
        <w:t>reported</w:t>
      </w:r>
      <w:r w:rsidRPr="00BD4651">
        <w:rPr>
          <w:color w:val="000000"/>
          <w:sz w:val="22"/>
          <w:szCs w:val="22"/>
        </w:rPr>
        <w:t xml:space="preserve"> having physical and mental health problems. They are mostly poor and don’t have health insurances (unpublished). It is important to assess it further if these health problems are a direct impact of the BP oil spills (incidence) or the</w:t>
      </w:r>
      <w:r w:rsidR="009237B0" w:rsidRPr="00BD4651">
        <w:rPr>
          <w:color w:val="000000"/>
          <w:sz w:val="22"/>
          <w:szCs w:val="22"/>
        </w:rPr>
        <w:t xml:space="preserve"> residents</w:t>
      </w:r>
      <w:r w:rsidRPr="00BD4651">
        <w:rPr>
          <w:color w:val="000000"/>
          <w:sz w:val="22"/>
          <w:szCs w:val="22"/>
        </w:rPr>
        <w:t xml:space="preserve"> continue having these problems for a long time (prevalence)</w:t>
      </w:r>
      <w:r w:rsidR="009F6771" w:rsidRPr="00BD4651">
        <w:rPr>
          <w:color w:val="000000"/>
          <w:sz w:val="22"/>
          <w:szCs w:val="22"/>
        </w:rPr>
        <w:t>, and if the health risks are more so on a longer term</w:t>
      </w:r>
      <w:r w:rsidRPr="00BD4651">
        <w:rPr>
          <w:color w:val="000000"/>
          <w:sz w:val="22"/>
          <w:szCs w:val="22"/>
        </w:rPr>
        <w:t xml:space="preserve">. Secondly, we need to assess general health needs of the community, using a CDC-developed assessment guideline tool, called Community Assessment for Public Health Emergency Response (CASPER). Thirdly, based on the health needs, the community people will be given health education to prevent further health risk and referral and information for the </w:t>
      </w:r>
      <w:r w:rsidR="005A7AE1" w:rsidRPr="00BD4651">
        <w:rPr>
          <w:color w:val="000000"/>
          <w:sz w:val="22"/>
          <w:szCs w:val="22"/>
        </w:rPr>
        <w:t xml:space="preserve">management of any </w:t>
      </w:r>
      <w:r w:rsidRPr="00BD4651">
        <w:rPr>
          <w:color w:val="000000"/>
          <w:sz w:val="22"/>
          <w:szCs w:val="22"/>
        </w:rPr>
        <w:t xml:space="preserve">existing health problems.  </w:t>
      </w:r>
    </w:p>
    <w:p w:rsidR="00D76C8A" w:rsidRPr="00BD4651" w:rsidRDefault="00D76C8A" w:rsidP="00D76C8A">
      <w:pPr>
        <w:rPr>
          <w:b/>
          <w:sz w:val="22"/>
          <w:szCs w:val="22"/>
        </w:rPr>
      </w:pPr>
    </w:p>
    <w:p w:rsidR="00D76C8A" w:rsidRPr="00BD4651" w:rsidRDefault="00D76C8A" w:rsidP="00D76C8A">
      <w:pPr>
        <w:rPr>
          <w:sz w:val="22"/>
          <w:szCs w:val="22"/>
          <w:u w:val="single"/>
        </w:rPr>
      </w:pPr>
      <w:r w:rsidRPr="00BD4651">
        <w:rPr>
          <w:sz w:val="22"/>
          <w:szCs w:val="22"/>
          <w:u w:val="single"/>
        </w:rPr>
        <w:t>Background:</w:t>
      </w:r>
    </w:p>
    <w:p w:rsidR="00D76C8A" w:rsidRPr="00BD4651" w:rsidRDefault="00D76C8A" w:rsidP="00D76C8A">
      <w:pPr>
        <w:spacing w:line="276" w:lineRule="auto"/>
        <w:rPr>
          <w:color w:val="000000"/>
          <w:sz w:val="22"/>
          <w:szCs w:val="22"/>
        </w:rPr>
      </w:pPr>
      <w:r w:rsidRPr="00BD4651">
        <w:rPr>
          <w:color w:val="000000"/>
          <w:sz w:val="22"/>
          <w:szCs w:val="22"/>
        </w:rPr>
        <w:t xml:space="preserve">Investigators have started knowing the </w:t>
      </w:r>
      <w:r w:rsidR="005A7AE1" w:rsidRPr="00BD4651">
        <w:rPr>
          <w:color w:val="000000"/>
          <w:sz w:val="22"/>
          <w:szCs w:val="22"/>
        </w:rPr>
        <w:t xml:space="preserve">health </w:t>
      </w:r>
      <w:r w:rsidRPr="00BD4651">
        <w:rPr>
          <w:color w:val="000000"/>
          <w:sz w:val="22"/>
          <w:szCs w:val="22"/>
        </w:rPr>
        <w:t xml:space="preserve">impact of oil spills in Gulf of Mexico, although they are mostly unknown, because the impact of the disaster could be chronic and long lasting.  In the first phase, a team consisting of investigators from </w:t>
      </w:r>
      <w:r w:rsidR="00A744BD" w:rsidRPr="00BD4651">
        <w:rPr>
          <w:color w:val="000000"/>
          <w:sz w:val="22"/>
          <w:szCs w:val="22"/>
        </w:rPr>
        <w:t xml:space="preserve">the Department of </w:t>
      </w:r>
      <w:r w:rsidRPr="00BD4651">
        <w:rPr>
          <w:color w:val="000000"/>
          <w:sz w:val="22"/>
          <w:szCs w:val="22"/>
        </w:rPr>
        <w:t xml:space="preserve">Community Health Sciences and </w:t>
      </w:r>
      <w:r w:rsidR="00A744BD" w:rsidRPr="00BD4651">
        <w:rPr>
          <w:color w:val="000000"/>
          <w:sz w:val="22"/>
          <w:szCs w:val="22"/>
        </w:rPr>
        <w:t xml:space="preserve">Department of </w:t>
      </w:r>
      <w:r w:rsidRPr="00BD4651">
        <w:rPr>
          <w:color w:val="000000"/>
          <w:sz w:val="22"/>
          <w:szCs w:val="22"/>
        </w:rPr>
        <w:t>Social Works of the University of Southern Mississippi conducted a survey among 363 residents in the three counties of Harrison, Jackson, and Hancock in Gulf Coast and Biloxi, MS</w:t>
      </w:r>
      <w:r w:rsidR="00A744BD" w:rsidRPr="00BD4651">
        <w:rPr>
          <w:color w:val="000000"/>
          <w:sz w:val="22"/>
          <w:szCs w:val="22"/>
        </w:rPr>
        <w:t xml:space="preserve"> in October-November, 2010</w:t>
      </w:r>
      <w:r w:rsidRPr="00BD4651">
        <w:rPr>
          <w:color w:val="000000"/>
          <w:sz w:val="22"/>
          <w:szCs w:val="22"/>
        </w:rPr>
        <w:t xml:space="preserve">.  In addition, the PI (AM) conducted a CDC-led two-day survey </w:t>
      </w:r>
      <w:r w:rsidR="00A744BD" w:rsidRPr="00BD4651">
        <w:rPr>
          <w:color w:val="000000"/>
          <w:sz w:val="22"/>
          <w:szCs w:val="22"/>
        </w:rPr>
        <w:t xml:space="preserve">in August 2010 </w:t>
      </w:r>
      <w:r w:rsidRPr="00BD4651">
        <w:rPr>
          <w:color w:val="000000"/>
          <w:sz w:val="22"/>
          <w:szCs w:val="22"/>
        </w:rPr>
        <w:t xml:space="preserve">among the </w:t>
      </w:r>
      <w:r w:rsidR="00A744BD" w:rsidRPr="00BD4651">
        <w:rPr>
          <w:color w:val="000000"/>
          <w:sz w:val="22"/>
          <w:szCs w:val="22"/>
        </w:rPr>
        <w:t xml:space="preserve">same </w:t>
      </w:r>
      <w:r w:rsidRPr="00BD4651">
        <w:rPr>
          <w:color w:val="000000"/>
          <w:sz w:val="22"/>
          <w:szCs w:val="22"/>
        </w:rPr>
        <w:t xml:space="preserve">population using a health assessment tool, called Community Assessment for Public Health Emergency Response (CASPER), developed by CDC.  The residents expressed having some physical and, more importantly, some mental health problems. </w:t>
      </w:r>
      <w:r w:rsidR="00BD4651" w:rsidRPr="00BD4651">
        <w:rPr>
          <w:color w:val="000000"/>
          <w:sz w:val="22"/>
          <w:szCs w:val="22"/>
        </w:rPr>
        <w:t>Most of the symptoms included headache, respiratory congestion, appetite loss and scratchy eyes</w:t>
      </w:r>
      <w:r w:rsidR="00BD4651">
        <w:rPr>
          <w:color w:val="000000"/>
          <w:sz w:val="22"/>
          <w:szCs w:val="22"/>
        </w:rPr>
        <w:t xml:space="preserve"> </w:t>
      </w:r>
      <w:r w:rsidR="00BD4651" w:rsidRPr="00BD4651">
        <w:rPr>
          <w:color w:val="000000"/>
          <w:sz w:val="22"/>
          <w:szCs w:val="22"/>
        </w:rPr>
        <w:t xml:space="preserve">(unpublished). </w:t>
      </w:r>
      <w:r w:rsidRPr="00BD4651">
        <w:rPr>
          <w:color w:val="000000"/>
          <w:sz w:val="22"/>
          <w:szCs w:val="22"/>
        </w:rPr>
        <w:t xml:space="preserve">Based on the </w:t>
      </w:r>
      <w:r w:rsidR="00A744BD" w:rsidRPr="00BD4651">
        <w:rPr>
          <w:color w:val="000000"/>
          <w:sz w:val="22"/>
          <w:szCs w:val="22"/>
        </w:rPr>
        <w:t>information</w:t>
      </w:r>
      <w:r w:rsidRPr="00BD4651">
        <w:rPr>
          <w:color w:val="000000"/>
          <w:sz w:val="22"/>
          <w:szCs w:val="22"/>
        </w:rPr>
        <w:t xml:space="preserve"> of the first phase, we intent to investigate it further if these self-identified health problems are linked with the recent BP oil spills (incidence) or they are chronic in nature </w:t>
      </w:r>
      <w:r w:rsidR="00310623" w:rsidRPr="00BD4651">
        <w:rPr>
          <w:color w:val="000000"/>
          <w:sz w:val="22"/>
          <w:szCs w:val="22"/>
        </w:rPr>
        <w:t>that</w:t>
      </w:r>
      <w:r w:rsidRPr="00BD4651">
        <w:rPr>
          <w:color w:val="000000"/>
          <w:sz w:val="22"/>
          <w:szCs w:val="22"/>
        </w:rPr>
        <w:t xml:space="preserve"> are existing before the Gulf oil spill (prevalence). Secondly, it is important to continue assessing the health risk and health needs over a longer period because of the nature of the health risk. Thirdly, depending on the health need assessments, </w:t>
      </w:r>
      <w:r w:rsidR="00A744BD" w:rsidRPr="00BD4651">
        <w:rPr>
          <w:color w:val="000000"/>
          <w:sz w:val="22"/>
          <w:szCs w:val="22"/>
        </w:rPr>
        <w:t xml:space="preserve">community outreach activities will be undertaken to disseminate information on health impact of oil spills and provide </w:t>
      </w:r>
      <w:r w:rsidRPr="00BD4651">
        <w:rPr>
          <w:color w:val="000000"/>
          <w:sz w:val="22"/>
          <w:szCs w:val="22"/>
        </w:rPr>
        <w:t xml:space="preserve">health education </w:t>
      </w:r>
      <w:r w:rsidR="00E14FC9" w:rsidRPr="00BD4651">
        <w:rPr>
          <w:color w:val="000000"/>
          <w:sz w:val="22"/>
          <w:szCs w:val="22"/>
        </w:rPr>
        <w:t xml:space="preserve">for the prevention of the health risks. </w:t>
      </w:r>
      <w:r w:rsidRPr="00BD4651">
        <w:rPr>
          <w:color w:val="000000"/>
          <w:sz w:val="22"/>
          <w:szCs w:val="22"/>
        </w:rPr>
        <w:t xml:space="preserve">Therefore, in the second phase, the study aims to: (1) </w:t>
      </w:r>
      <w:proofErr w:type="gramStart"/>
      <w:r w:rsidRPr="00BD4651">
        <w:rPr>
          <w:color w:val="000000"/>
          <w:sz w:val="22"/>
          <w:szCs w:val="22"/>
        </w:rPr>
        <w:t>Rapidly</w:t>
      </w:r>
      <w:proofErr w:type="gramEnd"/>
      <w:r w:rsidRPr="00BD4651">
        <w:rPr>
          <w:color w:val="000000"/>
          <w:sz w:val="22"/>
          <w:szCs w:val="22"/>
        </w:rPr>
        <w:t xml:space="preserve"> assess the present and potential health effects and basic needs for the population in </w:t>
      </w:r>
      <w:proofErr w:type="spellStart"/>
      <w:r w:rsidRPr="00BD4651">
        <w:rPr>
          <w:color w:val="000000"/>
          <w:sz w:val="22"/>
          <w:szCs w:val="22"/>
        </w:rPr>
        <w:t>GulfCoast</w:t>
      </w:r>
      <w:proofErr w:type="spellEnd"/>
      <w:r w:rsidRPr="00BD4651">
        <w:rPr>
          <w:color w:val="000000"/>
          <w:sz w:val="22"/>
          <w:szCs w:val="22"/>
        </w:rPr>
        <w:t xml:space="preserve"> and Biloxi, MS region, who are likely to be affected by Gulf oil spill.  The proposed </w:t>
      </w:r>
      <w:r w:rsidRPr="00BD4651">
        <w:rPr>
          <w:b/>
          <w:color w:val="000000"/>
          <w:sz w:val="22"/>
          <w:szCs w:val="22"/>
        </w:rPr>
        <w:lastRenderedPageBreak/>
        <w:t>epidemiological study and surveillance</w:t>
      </w:r>
      <w:r w:rsidRPr="00BD4651">
        <w:rPr>
          <w:color w:val="000000"/>
          <w:sz w:val="22"/>
          <w:szCs w:val="22"/>
        </w:rPr>
        <w:t xml:space="preserve"> will be conducted using a CDC-developed health assessment tool, known as CASPER; </w:t>
      </w:r>
      <w:r w:rsidR="00E14FC9" w:rsidRPr="00BD4651">
        <w:rPr>
          <w:color w:val="000000"/>
          <w:sz w:val="22"/>
          <w:szCs w:val="22"/>
        </w:rPr>
        <w:t xml:space="preserve">and </w:t>
      </w:r>
      <w:r w:rsidRPr="00BD4651">
        <w:rPr>
          <w:color w:val="000000"/>
          <w:sz w:val="22"/>
          <w:szCs w:val="22"/>
        </w:rPr>
        <w:t xml:space="preserve">(2) </w:t>
      </w:r>
      <w:r w:rsidRPr="00BD4651">
        <w:rPr>
          <w:sz w:val="22"/>
          <w:szCs w:val="22"/>
        </w:rPr>
        <w:t xml:space="preserve">Encourage health promotion by conducting community-based </w:t>
      </w:r>
      <w:r w:rsidRPr="00BD4651">
        <w:rPr>
          <w:b/>
          <w:sz w:val="22"/>
          <w:szCs w:val="22"/>
        </w:rPr>
        <w:t>outreach</w:t>
      </w:r>
      <w:r w:rsidRPr="00BD4651">
        <w:rPr>
          <w:color w:val="000000"/>
          <w:sz w:val="22"/>
          <w:szCs w:val="22"/>
        </w:rPr>
        <w:t xml:space="preserve"> and providing </w:t>
      </w:r>
      <w:r w:rsidRPr="00BD4651">
        <w:rPr>
          <w:b/>
          <w:color w:val="000000"/>
          <w:sz w:val="22"/>
          <w:szCs w:val="22"/>
        </w:rPr>
        <w:t>health education</w:t>
      </w:r>
      <w:r w:rsidRPr="00BD4651">
        <w:rPr>
          <w:color w:val="000000"/>
          <w:sz w:val="22"/>
          <w:szCs w:val="22"/>
        </w:rPr>
        <w:t xml:space="preserve">. </w:t>
      </w:r>
    </w:p>
    <w:p w:rsidR="00D76C8A" w:rsidRPr="00BD4651" w:rsidRDefault="00D76C8A" w:rsidP="00D76C8A">
      <w:pPr>
        <w:spacing w:line="276" w:lineRule="auto"/>
        <w:rPr>
          <w:sz w:val="22"/>
          <w:szCs w:val="22"/>
          <w:u w:val="single"/>
        </w:rPr>
      </w:pPr>
    </w:p>
    <w:p w:rsidR="00D76C8A" w:rsidRPr="00BD4651" w:rsidRDefault="00D76C8A" w:rsidP="00D76C8A">
      <w:pPr>
        <w:spacing w:line="276" w:lineRule="auto"/>
        <w:rPr>
          <w:sz w:val="22"/>
          <w:szCs w:val="22"/>
        </w:rPr>
      </w:pPr>
      <w:r w:rsidRPr="00BD4651">
        <w:rPr>
          <w:sz w:val="22"/>
          <w:szCs w:val="22"/>
          <w:u w:val="single"/>
        </w:rPr>
        <w:t>Methodology:</w:t>
      </w:r>
      <w:r w:rsidRPr="00BD4651">
        <w:rPr>
          <w:sz w:val="22"/>
          <w:szCs w:val="22"/>
        </w:rPr>
        <w:t xml:space="preserve">  </w:t>
      </w:r>
    </w:p>
    <w:p w:rsidR="00D76C8A" w:rsidRPr="00BD4651" w:rsidRDefault="00D76C8A" w:rsidP="00D76C8A">
      <w:pPr>
        <w:rPr>
          <w:sz w:val="22"/>
          <w:szCs w:val="22"/>
        </w:rPr>
      </w:pPr>
      <w:r w:rsidRPr="00BD4651">
        <w:rPr>
          <w:sz w:val="22"/>
          <w:szCs w:val="22"/>
        </w:rPr>
        <w:t xml:space="preserve">This study will be conducted among the residents of three counties in Gulf Coast and Biloxi, MS </w:t>
      </w:r>
      <w:r w:rsidR="00C2286B" w:rsidRPr="00BD4651">
        <w:rPr>
          <w:sz w:val="22"/>
          <w:szCs w:val="22"/>
        </w:rPr>
        <w:t xml:space="preserve">who are </w:t>
      </w:r>
      <w:r w:rsidRPr="00BD4651">
        <w:rPr>
          <w:sz w:val="22"/>
          <w:szCs w:val="22"/>
        </w:rPr>
        <w:t xml:space="preserve">most likely to be affected by the Gulf oil spill, namely Harrison, Jackson and Hancock counties. CDC has developed a </w:t>
      </w:r>
      <w:r w:rsidR="005A7AE1" w:rsidRPr="00BD4651">
        <w:rPr>
          <w:sz w:val="22"/>
          <w:szCs w:val="22"/>
        </w:rPr>
        <w:t>C</w:t>
      </w:r>
      <w:r w:rsidRPr="00BD4651">
        <w:rPr>
          <w:sz w:val="22"/>
          <w:szCs w:val="22"/>
        </w:rPr>
        <w:t xml:space="preserve">ommunity </w:t>
      </w:r>
      <w:r w:rsidR="005A7AE1" w:rsidRPr="00BD4651">
        <w:rPr>
          <w:sz w:val="22"/>
          <w:szCs w:val="22"/>
        </w:rPr>
        <w:t>A</w:t>
      </w:r>
      <w:r w:rsidRPr="00BD4651">
        <w:rPr>
          <w:sz w:val="22"/>
          <w:szCs w:val="22"/>
        </w:rPr>
        <w:t xml:space="preserve">ssessment for Public Health Emergency Response Toolkit (CASPER) (CDC, 2009), which is used for the assessment of health needs of the affected people following any type of disaster.  In the early 1970s, field personnel pioneered the adaptation of traditional epidemiological techniques to simplified sampling techniques and disease surveillance methods (Henderson and </w:t>
      </w:r>
      <w:proofErr w:type="spellStart"/>
      <w:r w:rsidRPr="00BD4651">
        <w:rPr>
          <w:sz w:val="22"/>
          <w:szCs w:val="22"/>
        </w:rPr>
        <w:t>Sundaresan</w:t>
      </w:r>
      <w:proofErr w:type="spellEnd"/>
      <w:r w:rsidRPr="00BD4651">
        <w:rPr>
          <w:sz w:val="22"/>
          <w:szCs w:val="22"/>
        </w:rPr>
        <w:t xml:space="preserve"> 1982). In the 1980s, the National Academy of Sciences’ Advisory Committee on Health, Biomedical Research, and Development (ACHBRD) adopted the sampling techniques and surveillance methods used in the Expanded Program on Immunization (EPI) to provide reliable health information more quickly and at a lower cost (</w:t>
      </w:r>
      <w:proofErr w:type="spellStart"/>
      <w:r w:rsidRPr="00BD4651">
        <w:rPr>
          <w:sz w:val="22"/>
          <w:szCs w:val="22"/>
        </w:rPr>
        <w:t>Bradt</w:t>
      </w:r>
      <w:proofErr w:type="spellEnd"/>
      <w:r w:rsidRPr="00BD4651">
        <w:rPr>
          <w:sz w:val="22"/>
          <w:szCs w:val="22"/>
        </w:rPr>
        <w:t xml:space="preserve"> and Drummond, 2002). Based on these sampling techniques and surveillance methods, CDC developed the CASPER toolkit to design and implement epidemiologic investigation to assess the health status and basic needs of a population affected by natural or manmade disasters (CDC, 2009). </w:t>
      </w:r>
    </w:p>
    <w:p w:rsidR="00D76C8A" w:rsidRPr="00BD4651" w:rsidRDefault="00D76C8A" w:rsidP="00D76C8A">
      <w:pPr>
        <w:rPr>
          <w:sz w:val="22"/>
          <w:szCs w:val="22"/>
        </w:rPr>
      </w:pPr>
    </w:p>
    <w:p w:rsidR="00D76C8A" w:rsidRPr="00BD4651" w:rsidRDefault="00D76C8A" w:rsidP="00D76C8A">
      <w:pPr>
        <w:rPr>
          <w:sz w:val="22"/>
          <w:szCs w:val="22"/>
        </w:rPr>
      </w:pPr>
      <w:r w:rsidRPr="00BD4651">
        <w:rPr>
          <w:i/>
          <w:sz w:val="22"/>
          <w:szCs w:val="22"/>
        </w:rPr>
        <w:t>The Sample Population</w:t>
      </w:r>
      <w:r w:rsidRPr="00BD4651">
        <w:rPr>
          <w:sz w:val="22"/>
          <w:szCs w:val="22"/>
        </w:rPr>
        <w:t xml:space="preserve">: Sampling will be done from residents of the three counties, namely Harrison, Jackson and Hancock of Gulf Coast and Biloxi, MS, in the south of I-10.  The detailed information of the area will be obtained by using U.S. Census Bureau data which contains Census 2000 information at the block level. The cluster sampling methodology for the CASPER involves a two-stage sampling procedure.  The first stage includes a sample of 30 clusters (census blocks) selected, with probability proportional to the estimated number of housing units.  In the second stage, seven occupied housing units will be randomly selected in each of the 30 clusters for conducting interviews, with a total of 210 samples. To select the eligible housing units from sampled clusters, the following method will be used.  First, the team members (two in each team) will make a complete list of housing units within the cluster. Then the team will select seven houses from the list by using a random number chart. One eligible household member (≥ 18 years of age) from the family will respond to questions. If more than one adult is present in the house, either can serve as the respondent. If the eligible household member(s) decline to participate, the team will move to the next house. However, a tracking form will be filled out for all eligible households (including those who refused to participate) which includes information on the access, type of dwelling, if door was answered or not, and interview completed, not finished and refusal (with reasons </w:t>
      </w:r>
      <w:r w:rsidR="00C2286B" w:rsidRPr="00BD4651">
        <w:rPr>
          <w:sz w:val="22"/>
          <w:szCs w:val="22"/>
        </w:rPr>
        <w:t>for not participation or incomplete information</w:t>
      </w:r>
      <w:r w:rsidRPr="00BD4651">
        <w:rPr>
          <w:sz w:val="22"/>
          <w:szCs w:val="22"/>
        </w:rPr>
        <w:t>).</w:t>
      </w:r>
    </w:p>
    <w:p w:rsidR="00D76C8A" w:rsidRPr="00BD4651" w:rsidRDefault="00D76C8A" w:rsidP="00D76C8A">
      <w:pPr>
        <w:rPr>
          <w:i/>
          <w:sz w:val="22"/>
          <w:szCs w:val="22"/>
        </w:rPr>
      </w:pPr>
    </w:p>
    <w:p w:rsidR="00D76C8A" w:rsidRPr="00BD4651" w:rsidRDefault="00D76C8A" w:rsidP="00D76C8A">
      <w:pPr>
        <w:rPr>
          <w:sz w:val="22"/>
          <w:szCs w:val="22"/>
        </w:rPr>
      </w:pPr>
      <w:r w:rsidRPr="00BD4651">
        <w:rPr>
          <w:i/>
          <w:sz w:val="22"/>
          <w:szCs w:val="22"/>
        </w:rPr>
        <w:t>The Questionnaire</w:t>
      </w:r>
      <w:r w:rsidRPr="00BD4651">
        <w:rPr>
          <w:sz w:val="22"/>
          <w:szCs w:val="22"/>
        </w:rPr>
        <w:t xml:space="preserve">: The team will use the same questionnaire used in CASPER (CDC, 2009). </w:t>
      </w:r>
      <w:r w:rsidR="008D38F5" w:rsidRPr="00BD4651">
        <w:rPr>
          <w:sz w:val="22"/>
          <w:szCs w:val="22"/>
        </w:rPr>
        <w:t xml:space="preserve">The questionnaire was already tested in a two-day survey in August 2010. </w:t>
      </w:r>
      <w:r w:rsidRPr="00BD4651">
        <w:rPr>
          <w:sz w:val="22"/>
          <w:szCs w:val="22"/>
        </w:rPr>
        <w:t xml:space="preserve">It includes 34 questions which should take no more than 15 minutes to complete. The questionnaire includes information on the number and age of household members, race/ethnicity, annual income, and any changes in income after the disaster, any recent (30 days) or past (two week and six months) physical symptoms, any emotional or psychological symptoms before or after the oil spill, and any involvement of any members in the cleanup activities of the oil spill. A team of two members who has knowledge in health problems </w:t>
      </w:r>
      <w:r w:rsidR="008D38F5" w:rsidRPr="00BD4651">
        <w:rPr>
          <w:sz w:val="22"/>
          <w:szCs w:val="22"/>
        </w:rPr>
        <w:t xml:space="preserve">(students in Community Health Sciences, Nursing and Social Works) </w:t>
      </w:r>
      <w:r w:rsidRPr="00BD4651">
        <w:rPr>
          <w:sz w:val="22"/>
          <w:szCs w:val="22"/>
        </w:rPr>
        <w:t xml:space="preserve">will conduct the interview. </w:t>
      </w:r>
      <w:r w:rsidR="008D38F5" w:rsidRPr="00BD4651">
        <w:rPr>
          <w:sz w:val="22"/>
          <w:szCs w:val="22"/>
        </w:rPr>
        <w:t xml:space="preserve"> The interview team members will be trained prior to the survey. </w:t>
      </w:r>
      <w:r w:rsidRPr="00BD4651">
        <w:rPr>
          <w:sz w:val="22"/>
          <w:szCs w:val="22"/>
        </w:rPr>
        <w:t>In order to include people with any language barriers (such as Spanish and Vietnamese), the study team will consist of at least two interviewers with adequate knowledge in speaking and understanding Spanish and Vietnamese, because a large Spanish-speaking (Mexican) and Vietnamese population live in the community. The</w:t>
      </w:r>
      <w:r w:rsidR="00AF0EB5" w:rsidRPr="00BD4651">
        <w:rPr>
          <w:sz w:val="22"/>
          <w:szCs w:val="22"/>
        </w:rPr>
        <w:t>se interviewers</w:t>
      </w:r>
      <w:r w:rsidRPr="00BD4651">
        <w:rPr>
          <w:sz w:val="22"/>
          <w:szCs w:val="22"/>
        </w:rPr>
        <w:t xml:space="preserve"> also </w:t>
      </w:r>
      <w:r w:rsidR="00AF3167" w:rsidRPr="00BD4651">
        <w:rPr>
          <w:sz w:val="22"/>
          <w:szCs w:val="22"/>
        </w:rPr>
        <w:t>assisted</w:t>
      </w:r>
      <w:r w:rsidRPr="00BD4651">
        <w:rPr>
          <w:sz w:val="22"/>
          <w:szCs w:val="22"/>
        </w:rPr>
        <w:t xml:space="preserve"> in the phase </w:t>
      </w:r>
      <w:proofErr w:type="gramStart"/>
      <w:r w:rsidRPr="00BD4651">
        <w:rPr>
          <w:sz w:val="22"/>
          <w:szCs w:val="22"/>
        </w:rPr>
        <w:t>I</w:t>
      </w:r>
      <w:proofErr w:type="gramEnd"/>
      <w:r w:rsidRPr="00BD4651">
        <w:rPr>
          <w:sz w:val="22"/>
          <w:szCs w:val="22"/>
        </w:rPr>
        <w:t xml:space="preserve"> of the study.</w:t>
      </w:r>
    </w:p>
    <w:p w:rsidR="00D76C8A" w:rsidRPr="00BD4651" w:rsidRDefault="00D76C8A" w:rsidP="00D76C8A">
      <w:pPr>
        <w:rPr>
          <w:sz w:val="22"/>
          <w:szCs w:val="22"/>
        </w:rPr>
      </w:pPr>
    </w:p>
    <w:p w:rsidR="00D76C8A" w:rsidRPr="00BD4651" w:rsidRDefault="00D76C8A" w:rsidP="00D76C8A">
      <w:pPr>
        <w:rPr>
          <w:sz w:val="22"/>
          <w:szCs w:val="22"/>
        </w:rPr>
      </w:pPr>
      <w:r w:rsidRPr="00BD4651">
        <w:rPr>
          <w:i/>
          <w:sz w:val="22"/>
          <w:szCs w:val="22"/>
        </w:rPr>
        <w:lastRenderedPageBreak/>
        <w:t>Referral</w:t>
      </w:r>
      <w:r w:rsidRPr="00BD4651">
        <w:rPr>
          <w:sz w:val="22"/>
          <w:szCs w:val="22"/>
        </w:rPr>
        <w:t xml:space="preserve">: If symptoms of any physical, mental, or emotional illnesses are suspected during the screening, the team will provide the household with a confidential referral form with a list of contact addresses. For physical health needs, the contact list includes Singing River Hospital, Memorial Hospital at Gulfport, health departments (Harrison, Jackson and Hancock county), several clinics (Biloxi Clinic, Pass Christian Mobile Unit, Saucier Clinic and Gulfport Clinic), and Department of Health contact number (Ann </w:t>
      </w:r>
      <w:proofErr w:type="spellStart"/>
      <w:r w:rsidRPr="00BD4651">
        <w:rPr>
          <w:sz w:val="22"/>
          <w:szCs w:val="22"/>
        </w:rPr>
        <w:t>Carlock</w:t>
      </w:r>
      <w:proofErr w:type="spellEnd"/>
      <w:r w:rsidRPr="00BD4651">
        <w:rPr>
          <w:sz w:val="22"/>
          <w:szCs w:val="22"/>
        </w:rPr>
        <w:t xml:space="preserve"> 228-863-1036). For behavioral health needs, the contact list includes Singing River Services, Gulf Coast Mental Health Center, and Department of Mental Health Helpline (1-877-210-8513). </w:t>
      </w:r>
    </w:p>
    <w:p w:rsidR="00D76C8A" w:rsidRPr="00BD4651" w:rsidRDefault="00D76C8A" w:rsidP="00D76C8A">
      <w:pPr>
        <w:rPr>
          <w:sz w:val="22"/>
          <w:szCs w:val="22"/>
        </w:rPr>
      </w:pPr>
    </w:p>
    <w:p w:rsidR="0054163C" w:rsidRPr="00BD4651" w:rsidRDefault="00D76C8A" w:rsidP="00310623">
      <w:pPr>
        <w:rPr>
          <w:color w:val="000000"/>
          <w:sz w:val="22"/>
          <w:szCs w:val="22"/>
        </w:rPr>
      </w:pPr>
      <w:r w:rsidRPr="00BD4651">
        <w:rPr>
          <w:i/>
          <w:sz w:val="22"/>
          <w:szCs w:val="22"/>
        </w:rPr>
        <w:t>Community Outreach and Health Education</w:t>
      </w:r>
      <w:r w:rsidRPr="00BD4651">
        <w:rPr>
          <w:sz w:val="22"/>
          <w:szCs w:val="22"/>
        </w:rPr>
        <w:t xml:space="preserve">: </w:t>
      </w:r>
      <w:r w:rsidR="00600B7A" w:rsidRPr="00BD4651">
        <w:rPr>
          <w:sz w:val="22"/>
          <w:szCs w:val="22"/>
        </w:rPr>
        <w:t xml:space="preserve"> </w:t>
      </w:r>
      <w:r w:rsidRPr="00BD4651">
        <w:rPr>
          <w:sz w:val="22"/>
          <w:szCs w:val="22"/>
        </w:rPr>
        <w:t xml:space="preserve">The residents will be given </w:t>
      </w:r>
      <w:r w:rsidR="00ED4503" w:rsidRPr="00BD4651">
        <w:rPr>
          <w:sz w:val="22"/>
          <w:szCs w:val="22"/>
        </w:rPr>
        <w:t xml:space="preserve">a number of </w:t>
      </w:r>
      <w:r w:rsidR="00600B7A" w:rsidRPr="00BD4651">
        <w:rPr>
          <w:sz w:val="22"/>
          <w:szCs w:val="22"/>
        </w:rPr>
        <w:t>health education materials including (1) handouts on effects of human health from oil spills</w:t>
      </w:r>
      <w:r w:rsidR="002923D7" w:rsidRPr="00BD4651">
        <w:rPr>
          <w:sz w:val="22"/>
          <w:szCs w:val="22"/>
        </w:rPr>
        <w:t xml:space="preserve"> (</w:t>
      </w:r>
      <w:r w:rsidR="002923D7" w:rsidRPr="00BD4651">
        <w:rPr>
          <w:color w:val="000000"/>
          <w:sz w:val="22"/>
          <w:szCs w:val="22"/>
        </w:rPr>
        <w:t>http://www.time.com/time/health/article/0,8599,1999479,00.html?xid=rss-topstories)</w:t>
      </w:r>
      <w:r w:rsidR="002923D7" w:rsidRPr="00BD4651">
        <w:rPr>
          <w:sz w:val="22"/>
          <w:szCs w:val="22"/>
        </w:rPr>
        <w:t>, and management of traumatic stress (http://www.cdc.gov/niosh/topics/oilspillresponse/traumatic.html)</w:t>
      </w:r>
      <w:r w:rsidR="00600B7A" w:rsidRPr="00BD4651">
        <w:rPr>
          <w:sz w:val="22"/>
          <w:szCs w:val="22"/>
        </w:rPr>
        <w:t xml:space="preserve">; (2) flyers on symptoms of exposure and preventive measures (http://www.cdc.gov/niosh/topics/OilSpillResponse/); (3) video clips on psychological impact of oil disaster on children and adults (http://www.childrenshealthfund.org/video/impact-oil-spill-children-gulf); </w:t>
      </w:r>
      <w:r w:rsidR="00ED4503" w:rsidRPr="00BD4651">
        <w:rPr>
          <w:sz w:val="22"/>
          <w:szCs w:val="22"/>
        </w:rPr>
        <w:t xml:space="preserve">and </w:t>
      </w:r>
      <w:r w:rsidR="00600B7A" w:rsidRPr="00BD4651">
        <w:rPr>
          <w:sz w:val="22"/>
          <w:szCs w:val="22"/>
        </w:rPr>
        <w:t>(</w:t>
      </w:r>
      <w:r w:rsidR="00ED4503" w:rsidRPr="00BD4651">
        <w:rPr>
          <w:sz w:val="22"/>
          <w:szCs w:val="22"/>
        </w:rPr>
        <w:t>4</w:t>
      </w:r>
      <w:r w:rsidR="00600B7A" w:rsidRPr="00BD4651">
        <w:rPr>
          <w:sz w:val="22"/>
          <w:szCs w:val="22"/>
        </w:rPr>
        <w:t xml:space="preserve">) </w:t>
      </w:r>
      <w:r w:rsidR="00ED4503" w:rsidRPr="00BD4651">
        <w:rPr>
          <w:sz w:val="22"/>
          <w:szCs w:val="22"/>
        </w:rPr>
        <w:t xml:space="preserve">Online self guides for </w:t>
      </w:r>
      <w:r w:rsidR="00ED4503" w:rsidRPr="00BD4651">
        <w:rPr>
          <w:color w:val="000000"/>
          <w:sz w:val="22"/>
          <w:szCs w:val="22"/>
        </w:rPr>
        <w:t>psychological tests</w:t>
      </w:r>
      <w:r w:rsidR="00ED4503" w:rsidRPr="00BD4651">
        <w:rPr>
          <w:sz w:val="22"/>
          <w:szCs w:val="22"/>
        </w:rPr>
        <w:t xml:space="preserve"> and assessments of mental health problems (</w:t>
      </w:r>
      <w:r w:rsidR="00ED4503" w:rsidRPr="00BD4651">
        <w:rPr>
          <w:color w:val="000000"/>
          <w:sz w:val="22"/>
          <w:szCs w:val="22"/>
        </w:rPr>
        <w:t xml:space="preserve">http://www.healthyplace.com/psychological-tests/). </w:t>
      </w:r>
    </w:p>
    <w:p w:rsidR="0054163C" w:rsidRPr="00BD4651" w:rsidRDefault="0054163C" w:rsidP="00310623">
      <w:pPr>
        <w:rPr>
          <w:color w:val="000000"/>
          <w:sz w:val="22"/>
          <w:szCs w:val="22"/>
        </w:rPr>
      </w:pPr>
    </w:p>
    <w:p w:rsidR="0054163C" w:rsidRPr="00BD4651" w:rsidRDefault="00ED4503" w:rsidP="00310623">
      <w:pPr>
        <w:rPr>
          <w:color w:val="000000"/>
          <w:sz w:val="22"/>
          <w:szCs w:val="22"/>
        </w:rPr>
      </w:pPr>
      <w:r w:rsidRPr="00BD4651">
        <w:rPr>
          <w:color w:val="000000"/>
          <w:sz w:val="22"/>
          <w:szCs w:val="22"/>
        </w:rPr>
        <w:t xml:space="preserve">Health education materials will be distributed by several means: (1) </w:t>
      </w:r>
      <w:r w:rsidR="00224EDF" w:rsidRPr="00BD4651">
        <w:rPr>
          <w:color w:val="000000"/>
          <w:sz w:val="22"/>
          <w:szCs w:val="22"/>
        </w:rPr>
        <w:t xml:space="preserve">disseminate </w:t>
      </w:r>
      <w:r w:rsidRPr="00BD4651">
        <w:rPr>
          <w:color w:val="000000"/>
          <w:sz w:val="22"/>
          <w:szCs w:val="22"/>
        </w:rPr>
        <w:t xml:space="preserve">during household visits by the survey teams of Department of Community Health Sciences and Department of Social Works; (2) display materials at public places, such as gas stations, grocery stores, schools, daycare centers, churches etc.; </w:t>
      </w:r>
      <w:r w:rsidR="0054163C" w:rsidRPr="00BD4651">
        <w:rPr>
          <w:color w:val="000000"/>
          <w:sz w:val="22"/>
          <w:szCs w:val="22"/>
        </w:rPr>
        <w:t xml:space="preserve">and </w:t>
      </w:r>
      <w:r w:rsidRPr="00BD4651">
        <w:rPr>
          <w:color w:val="000000"/>
          <w:sz w:val="22"/>
          <w:szCs w:val="22"/>
        </w:rPr>
        <w:t>(3) conduct 10 health fairs</w:t>
      </w:r>
      <w:r w:rsidR="0054163C" w:rsidRPr="00BD4651">
        <w:rPr>
          <w:color w:val="000000"/>
          <w:sz w:val="22"/>
          <w:szCs w:val="22"/>
        </w:rPr>
        <w:t xml:space="preserve"> and distribute materials at health fairs.</w:t>
      </w:r>
    </w:p>
    <w:p w:rsidR="0054163C" w:rsidRPr="00BD4651" w:rsidRDefault="0054163C" w:rsidP="00310623">
      <w:pPr>
        <w:rPr>
          <w:color w:val="000000"/>
          <w:sz w:val="22"/>
          <w:szCs w:val="22"/>
        </w:rPr>
      </w:pPr>
    </w:p>
    <w:p w:rsidR="00A1120C" w:rsidRPr="00BD4651" w:rsidRDefault="00A1120C" w:rsidP="00310623">
      <w:pPr>
        <w:rPr>
          <w:color w:val="000000"/>
          <w:sz w:val="22"/>
          <w:szCs w:val="22"/>
        </w:rPr>
      </w:pPr>
      <w:r w:rsidRPr="00BD4651">
        <w:rPr>
          <w:i/>
          <w:color w:val="000000"/>
          <w:sz w:val="22"/>
          <w:szCs w:val="22"/>
        </w:rPr>
        <w:t>Planning Committee Meeting</w:t>
      </w:r>
      <w:r w:rsidRPr="00BD4651">
        <w:rPr>
          <w:color w:val="000000"/>
          <w:sz w:val="22"/>
          <w:szCs w:val="22"/>
        </w:rPr>
        <w:t xml:space="preserve">: Investigators from the Department of Community Health Sciences and Department of Social Works will work closely to plan, organize surveys, </w:t>
      </w:r>
      <w:r w:rsidR="00207EA5" w:rsidRPr="00BD4651">
        <w:rPr>
          <w:color w:val="000000"/>
          <w:sz w:val="22"/>
          <w:szCs w:val="22"/>
        </w:rPr>
        <w:t xml:space="preserve">provide training, </w:t>
      </w:r>
      <w:r w:rsidRPr="00BD4651">
        <w:rPr>
          <w:color w:val="000000"/>
          <w:sz w:val="22"/>
          <w:szCs w:val="22"/>
        </w:rPr>
        <w:t>manage any issues, and collect and analyze data.  The team may also include any members from the community who work for the special racial/ethnic groups (</w:t>
      </w:r>
      <w:r w:rsidR="00FC611D" w:rsidRPr="00BD4651">
        <w:rPr>
          <w:color w:val="000000"/>
          <w:sz w:val="22"/>
          <w:szCs w:val="22"/>
        </w:rPr>
        <w:t>e.g.,</w:t>
      </w:r>
      <w:r w:rsidRPr="00BD4651">
        <w:rPr>
          <w:color w:val="000000"/>
          <w:sz w:val="22"/>
          <w:szCs w:val="22"/>
        </w:rPr>
        <w:t xml:space="preserve"> </w:t>
      </w:r>
      <w:r w:rsidR="00FC611D" w:rsidRPr="00BD4651">
        <w:rPr>
          <w:color w:val="000000"/>
          <w:sz w:val="22"/>
          <w:szCs w:val="22"/>
        </w:rPr>
        <w:t xml:space="preserve">Ms Kaitlin </w:t>
      </w:r>
      <w:proofErr w:type="spellStart"/>
      <w:r w:rsidR="00FC611D" w:rsidRPr="00BD4651">
        <w:rPr>
          <w:color w:val="000000"/>
          <w:sz w:val="22"/>
          <w:szCs w:val="22"/>
        </w:rPr>
        <w:t>Troung</w:t>
      </w:r>
      <w:proofErr w:type="spellEnd"/>
      <w:r w:rsidR="00FC611D" w:rsidRPr="00BD4651">
        <w:rPr>
          <w:color w:val="000000"/>
          <w:sz w:val="22"/>
          <w:szCs w:val="22"/>
        </w:rPr>
        <w:t xml:space="preserve"> for the </w:t>
      </w:r>
      <w:r w:rsidRPr="00BD4651">
        <w:rPr>
          <w:color w:val="000000"/>
          <w:sz w:val="22"/>
          <w:szCs w:val="22"/>
        </w:rPr>
        <w:t>Vietnamese community</w:t>
      </w:r>
      <w:r w:rsidR="00FC611D" w:rsidRPr="00BD4651">
        <w:rPr>
          <w:color w:val="000000"/>
          <w:sz w:val="22"/>
          <w:szCs w:val="22"/>
        </w:rPr>
        <w:t>, 228-806-1384</w:t>
      </w:r>
      <w:r w:rsidRPr="00BD4651">
        <w:rPr>
          <w:color w:val="000000"/>
          <w:sz w:val="22"/>
          <w:szCs w:val="22"/>
        </w:rPr>
        <w:t>)</w:t>
      </w:r>
      <w:r w:rsidR="0073372B" w:rsidRPr="00BD4651">
        <w:rPr>
          <w:color w:val="000000"/>
          <w:sz w:val="22"/>
          <w:szCs w:val="22"/>
        </w:rPr>
        <w:t>, and members from the Department of Mental Health and local health clinics and hospitals</w:t>
      </w:r>
      <w:r w:rsidRPr="00BD4651">
        <w:rPr>
          <w:color w:val="000000"/>
          <w:sz w:val="22"/>
          <w:szCs w:val="22"/>
        </w:rPr>
        <w:t xml:space="preserve">. The team will meet initially on a biweekly basis for </w:t>
      </w:r>
      <w:r w:rsidR="00207EA5" w:rsidRPr="00BD4651">
        <w:rPr>
          <w:color w:val="000000"/>
          <w:sz w:val="22"/>
          <w:szCs w:val="22"/>
        </w:rPr>
        <w:t xml:space="preserve">the first </w:t>
      </w:r>
      <w:r w:rsidRPr="00BD4651">
        <w:rPr>
          <w:color w:val="000000"/>
          <w:sz w:val="22"/>
          <w:szCs w:val="22"/>
        </w:rPr>
        <w:t>four months. Once the study is in full gear, the team will meet as and when necessary to resolve any issues.</w:t>
      </w:r>
    </w:p>
    <w:p w:rsidR="00A1120C" w:rsidRPr="00BD4651" w:rsidRDefault="00A1120C" w:rsidP="00310623">
      <w:pPr>
        <w:rPr>
          <w:color w:val="000000"/>
          <w:sz w:val="22"/>
          <w:szCs w:val="22"/>
        </w:rPr>
      </w:pPr>
      <w:r w:rsidRPr="00BD4651">
        <w:rPr>
          <w:color w:val="000000"/>
          <w:sz w:val="22"/>
          <w:szCs w:val="22"/>
        </w:rPr>
        <w:t xml:space="preserve"> </w:t>
      </w:r>
    </w:p>
    <w:p w:rsidR="00D76C8A" w:rsidRPr="00BD4651" w:rsidRDefault="00D76C8A" w:rsidP="00D76C8A">
      <w:pPr>
        <w:rPr>
          <w:sz w:val="22"/>
          <w:szCs w:val="22"/>
        </w:rPr>
      </w:pPr>
    </w:p>
    <w:p w:rsidR="00D76C8A" w:rsidRPr="00BD4651" w:rsidRDefault="00D76C8A" w:rsidP="002F4587">
      <w:pPr>
        <w:spacing w:line="276" w:lineRule="auto"/>
        <w:rPr>
          <w:sz w:val="22"/>
          <w:szCs w:val="22"/>
          <w:u w:val="single"/>
        </w:rPr>
      </w:pPr>
      <w:r w:rsidRPr="00BD4651">
        <w:rPr>
          <w:sz w:val="22"/>
          <w:szCs w:val="22"/>
          <w:u w:val="single"/>
        </w:rPr>
        <w:t>Milestones:</w:t>
      </w:r>
      <w:r w:rsidRPr="00BD4651">
        <w:rPr>
          <w:sz w:val="22"/>
          <w:szCs w:val="22"/>
        </w:rPr>
        <w:t xml:space="preserve">  </w:t>
      </w:r>
      <w:r w:rsidRPr="00BD4651">
        <w:rPr>
          <w:sz w:val="22"/>
          <w:szCs w:val="22"/>
          <w:u w:val="single"/>
        </w:rPr>
        <w:t>Schedule and Timeline of Phase II: 12 months</w:t>
      </w:r>
    </w:p>
    <w:p w:rsidR="00D76C8A" w:rsidRPr="00BD4651" w:rsidRDefault="00D76C8A" w:rsidP="00D76C8A">
      <w:pPr>
        <w:pStyle w:val="Title"/>
        <w:ind w:firstLine="720"/>
        <w:rPr>
          <w:sz w:val="22"/>
          <w:szCs w:val="22"/>
        </w:rPr>
      </w:pPr>
      <w:r w:rsidRPr="00BD4651">
        <w:rPr>
          <w:sz w:val="22"/>
          <w:szCs w:val="22"/>
          <w:u w:val="single"/>
        </w:rPr>
        <w:t xml:space="preserve"> </w:t>
      </w:r>
    </w:p>
    <w:tbl>
      <w:tblPr>
        <w:tblW w:w="10275" w:type="dxa"/>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7"/>
        <w:gridCol w:w="540"/>
        <w:gridCol w:w="540"/>
        <w:gridCol w:w="540"/>
        <w:gridCol w:w="540"/>
        <w:gridCol w:w="630"/>
        <w:gridCol w:w="654"/>
        <w:gridCol w:w="654"/>
        <w:gridCol w:w="654"/>
        <w:gridCol w:w="654"/>
        <w:gridCol w:w="654"/>
        <w:gridCol w:w="654"/>
        <w:gridCol w:w="654"/>
      </w:tblGrid>
      <w:tr w:rsidR="00D76C8A" w:rsidRPr="00BD4651" w:rsidTr="002F4587">
        <w:trPr>
          <w:trHeight w:val="278"/>
          <w:jc w:val="center"/>
        </w:trPr>
        <w:tc>
          <w:tcPr>
            <w:tcW w:w="2907" w:type="dxa"/>
            <w:shd w:val="clear" w:color="auto" w:fill="auto"/>
          </w:tcPr>
          <w:p w:rsidR="00D76C8A" w:rsidRPr="00BD4651" w:rsidRDefault="00D76C8A" w:rsidP="001B08F3">
            <w:pPr>
              <w:autoSpaceDE w:val="0"/>
              <w:autoSpaceDN w:val="0"/>
              <w:adjustRightInd w:val="0"/>
              <w:jc w:val="center"/>
              <w:rPr>
                <w:b/>
                <w:sz w:val="22"/>
                <w:szCs w:val="22"/>
              </w:rPr>
            </w:pPr>
            <w:r w:rsidRPr="00BD4651">
              <w:rPr>
                <w:b/>
                <w:sz w:val="22"/>
                <w:szCs w:val="22"/>
              </w:rPr>
              <w:t>Activities</w:t>
            </w:r>
          </w:p>
        </w:tc>
        <w:tc>
          <w:tcPr>
            <w:tcW w:w="7368" w:type="dxa"/>
            <w:gridSpan w:val="12"/>
            <w:shd w:val="clear" w:color="auto" w:fill="FFFFFF"/>
          </w:tcPr>
          <w:p w:rsidR="00D76C8A" w:rsidRPr="00BD4651" w:rsidRDefault="00D76C8A" w:rsidP="001B08F3">
            <w:pPr>
              <w:autoSpaceDE w:val="0"/>
              <w:autoSpaceDN w:val="0"/>
              <w:adjustRightInd w:val="0"/>
              <w:jc w:val="center"/>
              <w:rPr>
                <w:b/>
                <w:sz w:val="22"/>
                <w:szCs w:val="22"/>
              </w:rPr>
            </w:pPr>
            <w:r w:rsidRPr="00BD4651">
              <w:rPr>
                <w:b/>
                <w:sz w:val="22"/>
                <w:szCs w:val="22"/>
              </w:rPr>
              <w:t>Timeline in Months</w:t>
            </w:r>
          </w:p>
        </w:tc>
      </w:tr>
      <w:tr w:rsidR="00D76C8A" w:rsidRPr="00BD4651" w:rsidTr="002F4587">
        <w:trPr>
          <w:trHeight w:val="278"/>
          <w:jc w:val="center"/>
        </w:trPr>
        <w:tc>
          <w:tcPr>
            <w:tcW w:w="2907" w:type="dxa"/>
            <w:shd w:val="clear" w:color="auto" w:fill="auto"/>
          </w:tcPr>
          <w:p w:rsidR="00D76C8A" w:rsidRPr="00BD4651" w:rsidRDefault="00D76C8A" w:rsidP="001B08F3">
            <w:pPr>
              <w:autoSpaceDE w:val="0"/>
              <w:autoSpaceDN w:val="0"/>
              <w:adjustRightInd w:val="0"/>
              <w:rPr>
                <w:sz w:val="22"/>
                <w:szCs w:val="22"/>
              </w:rPr>
            </w:pPr>
          </w:p>
        </w:tc>
        <w:tc>
          <w:tcPr>
            <w:tcW w:w="540" w:type="dxa"/>
            <w:shd w:val="clear" w:color="auto" w:fill="FFFFFF"/>
          </w:tcPr>
          <w:p w:rsidR="00D76C8A" w:rsidRPr="00BD4651" w:rsidRDefault="00D76C8A" w:rsidP="001B08F3">
            <w:pPr>
              <w:autoSpaceDE w:val="0"/>
              <w:autoSpaceDN w:val="0"/>
              <w:adjustRightInd w:val="0"/>
              <w:rPr>
                <w:sz w:val="22"/>
                <w:szCs w:val="22"/>
              </w:rPr>
            </w:pPr>
            <w:r w:rsidRPr="00BD4651">
              <w:rPr>
                <w:sz w:val="22"/>
                <w:szCs w:val="22"/>
              </w:rPr>
              <w:t>1</w:t>
            </w:r>
          </w:p>
        </w:tc>
        <w:tc>
          <w:tcPr>
            <w:tcW w:w="540" w:type="dxa"/>
            <w:tcBorders>
              <w:bottom w:val="single" w:sz="4" w:space="0" w:color="auto"/>
            </w:tcBorders>
            <w:shd w:val="clear" w:color="auto" w:fill="FFFFFF"/>
          </w:tcPr>
          <w:p w:rsidR="00D76C8A" w:rsidRPr="00BD4651" w:rsidRDefault="00D76C8A" w:rsidP="001B08F3">
            <w:pPr>
              <w:autoSpaceDE w:val="0"/>
              <w:autoSpaceDN w:val="0"/>
              <w:adjustRightInd w:val="0"/>
              <w:rPr>
                <w:sz w:val="22"/>
                <w:szCs w:val="22"/>
              </w:rPr>
            </w:pPr>
            <w:r w:rsidRPr="00BD4651">
              <w:rPr>
                <w:sz w:val="22"/>
                <w:szCs w:val="22"/>
              </w:rPr>
              <w:t>2</w:t>
            </w:r>
          </w:p>
        </w:tc>
        <w:tc>
          <w:tcPr>
            <w:tcW w:w="540" w:type="dxa"/>
            <w:tcBorders>
              <w:bottom w:val="single" w:sz="4" w:space="0" w:color="auto"/>
            </w:tcBorders>
            <w:shd w:val="clear" w:color="auto" w:fill="auto"/>
          </w:tcPr>
          <w:p w:rsidR="00D76C8A" w:rsidRPr="00BD4651" w:rsidRDefault="00D76C8A" w:rsidP="001B08F3">
            <w:pPr>
              <w:autoSpaceDE w:val="0"/>
              <w:autoSpaceDN w:val="0"/>
              <w:adjustRightInd w:val="0"/>
              <w:rPr>
                <w:sz w:val="22"/>
                <w:szCs w:val="22"/>
              </w:rPr>
            </w:pPr>
            <w:r w:rsidRPr="00BD4651">
              <w:rPr>
                <w:sz w:val="22"/>
                <w:szCs w:val="22"/>
              </w:rPr>
              <w:t>3</w:t>
            </w:r>
          </w:p>
        </w:tc>
        <w:tc>
          <w:tcPr>
            <w:tcW w:w="540" w:type="dxa"/>
            <w:tcBorders>
              <w:bottom w:val="single" w:sz="4" w:space="0" w:color="auto"/>
            </w:tcBorders>
            <w:shd w:val="clear" w:color="auto" w:fill="auto"/>
          </w:tcPr>
          <w:p w:rsidR="00D76C8A" w:rsidRPr="00BD4651" w:rsidRDefault="00D76C8A" w:rsidP="001B08F3">
            <w:pPr>
              <w:autoSpaceDE w:val="0"/>
              <w:autoSpaceDN w:val="0"/>
              <w:adjustRightInd w:val="0"/>
              <w:rPr>
                <w:sz w:val="22"/>
                <w:szCs w:val="22"/>
              </w:rPr>
            </w:pPr>
            <w:r w:rsidRPr="00BD4651">
              <w:rPr>
                <w:sz w:val="22"/>
                <w:szCs w:val="22"/>
              </w:rPr>
              <w:t>4</w:t>
            </w:r>
          </w:p>
        </w:tc>
        <w:tc>
          <w:tcPr>
            <w:tcW w:w="630" w:type="dxa"/>
            <w:tcBorders>
              <w:bottom w:val="single" w:sz="4" w:space="0" w:color="auto"/>
            </w:tcBorders>
            <w:shd w:val="clear" w:color="auto" w:fill="auto"/>
          </w:tcPr>
          <w:p w:rsidR="00D76C8A" w:rsidRPr="00BD4651" w:rsidRDefault="00D76C8A" w:rsidP="001B08F3">
            <w:pPr>
              <w:autoSpaceDE w:val="0"/>
              <w:autoSpaceDN w:val="0"/>
              <w:adjustRightInd w:val="0"/>
              <w:rPr>
                <w:sz w:val="22"/>
                <w:szCs w:val="22"/>
              </w:rPr>
            </w:pPr>
            <w:r w:rsidRPr="00BD4651">
              <w:rPr>
                <w:sz w:val="22"/>
                <w:szCs w:val="22"/>
              </w:rPr>
              <w:t>5</w:t>
            </w:r>
          </w:p>
        </w:tc>
        <w:tc>
          <w:tcPr>
            <w:tcW w:w="654" w:type="dxa"/>
            <w:tcBorders>
              <w:bottom w:val="single" w:sz="4" w:space="0" w:color="auto"/>
            </w:tcBorders>
            <w:shd w:val="clear" w:color="auto" w:fill="auto"/>
          </w:tcPr>
          <w:p w:rsidR="00D76C8A" w:rsidRPr="00BD4651" w:rsidRDefault="00D76C8A" w:rsidP="001B08F3">
            <w:pPr>
              <w:autoSpaceDE w:val="0"/>
              <w:autoSpaceDN w:val="0"/>
              <w:adjustRightInd w:val="0"/>
              <w:rPr>
                <w:sz w:val="22"/>
                <w:szCs w:val="22"/>
              </w:rPr>
            </w:pPr>
            <w:r w:rsidRPr="00BD4651">
              <w:rPr>
                <w:sz w:val="22"/>
                <w:szCs w:val="22"/>
              </w:rPr>
              <w:t>6</w:t>
            </w:r>
          </w:p>
        </w:tc>
        <w:tc>
          <w:tcPr>
            <w:tcW w:w="654" w:type="dxa"/>
            <w:tcBorders>
              <w:bottom w:val="single" w:sz="4" w:space="0" w:color="auto"/>
            </w:tcBorders>
          </w:tcPr>
          <w:p w:rsidR="00D76C8A" w:rsidRPr="00BD4651" w:rsidRDefault="00D76C8A" w:rsidP="001B08F3">
            <w:pPr>
              <w:autoSpaceDE w:val="0"/>
              <w:autoSpaceDN w:val="0"/>
              <w:adjustRightInd w:val="0"/>
              <w:jc w:val="center"/>
              <w:rPr>
                <w:sz w:val="22"/>
                <w:szCs w:val="22"/>
              </w:rPr>
            </w:pPr>
            <w:r w:rsidRPr="00BD4651">
              <w:rPr>
                <w:sz w:val="22"/>
                <w:szCs w:val="22"/>
              </w:rPr>
              <w:t>7</w:t>
            </w:r>
          </w:p>
        </w:tc>
        <w:tc>
          <w:tcPr>
            <w:tcW w:w="654" w:type="dxa"/>
            <w:tcBorders>
              <w:bottom w:val="single" w:sz="4" w:space="0" w:color="auto"/>
            </w:tcBorders>
          </w:tcPr>
          <w:p w:rsidR="00D76C8A" w:rsidRPr="00BD4651" w:rsidRDefault="00D76C8A" w:rsidP="001B08F3">
            <w:pPr>
              <w:autoSpaceDE w:val="0"/>
              <w:autoSpaceDN w:val="0"/>
              <w:adjustRightInd w:val="0"/>
              <w:jc w:val="center"/>
              <w:rPr>
                <w:sz w:val="22"/>
                <w:szCs w:val="22"/>
              </w:rPr>
            </w:pPr>
            <w:r w:rsidRPr="00BD4651">
              <w:rPr>
                <w:sz w:val="22"/>
                <w:szCs w:val="22"/>
              </w:rPr>
              <w:t>8</w:t>
            </w:r>
          </w:p>
        </w:tc>
        <w:tc>
          <w:tcPr>
            <w:tcW w:w="654" w:type="dxa"/>
            <w:tcBorders>
              <w:bottom w:val="single" w:sz="4" w:space="0" w:color="auto"/>
            </w:tcBorders>
          </w:tcPr>
          <w:p w:rsidR="00D76C8A" w:rsidRPr="00BD4651" w:rsidRDefault="00D76C8A" w:rsidP="001B08F3">
            <w:pPr>
              <w:autoSpaceDE w:val="0"/>
              <w:autoSpaceDN w:val="0"/>
              <w:adjustRightInd w:val="0"/>
              <w:jc w:val="center"/>
              <w:rPr>
                <w:sz w:val="22"/>
                <w:szCs w:val="22"/>
              </w:rPr>
            </w:pPr>
            <w:r w:rsidRPr="00BD4651">
              <w:rPr>
                <w:sz w:val="22"/>
                <w:szCs w:val="22"/>
              </w:rPr>
              <w:t>9</w:t>
            </w:r>
          </w:p>
        </w:tc>
        <w:tc>
          <w:tcPr>
            <w:tcW w:w="654" w:type="dxa"/>
            <w:tcBorders>
              <w:bottom w:val="single" w:sz="4" w:space="0" w:color="auto"/>
            </w:tcBorders>
          </w:tcPr>
          <w:p w:rsidR="00D76C8A" w:rsidRPr="00BD4651" w:rsidRDefault="00D76C8A" w:rsidP="001B08F3">
            <w:pPr>
              <w:autoSpaceDE w:val="0"/>
              <w:autoSpaceDN w:val="0"/>
              <w:adjustRightInd w:val="0"/>
              <w:jc w:val="center"/>
              <w:rPr>
                <w:sz w:val="22"/>
                <w:szCs w:val="22"/>
              </w:rPr>
            </w:pPr>
            <w:r w:rsidRPr="00BD4651">
              <w:rPr>
                <w:sz w:val="22"/>
                <w:szCs w:val="22"/>
              </w:rPr>
              <w:t>10</w:t>
            </w:r>
          </w:p>
        </w:tc>
        <w:tc>
          <w:tcPr>
            <w:tcW w:w="654" w:type="dxa"/>
            <w:tcBorders>
              <w:bottom w:val="single" w:sz="4" w:space="0" w:color="auto"/>
            </w:tcBorders>
          </w:tcPr>
          <w:p w:rsidR="00D76C8A" w:rsidRPr="00BD4651" w:rsidRDefault="00D76C8A" w:rsidP="001B08F3">
            <w:pPr>
              <w:autoSpaceDE w:val="0"/>
              <w:autoSpaceDN w:val="0"/>
              <w:adjustRightInd w:val="0"/>
              <w:jc w:val="center"/>
              <w:rPr>
                <w:sz w:val="22"/>
                <w:szCs w:val="22"/>
              </w:rPr>
            </w:pPr>
            <w:r w:rsidRPr="00BD4651">
              <w:rPr>
                <w:sz w:val="22"/>
                <w:szCs w:val="22"/>
              </w:rPr>
              <w:t>11</w:t>
            </w:r>
          </w:p>
        </w:tc>
        <w:tc>
          <w:tcPr>
            <w:tcW w:w="654" w:type="dxa"/>
            <w:tcBorders>
              <w:bottom w:val="single" w:sz="4" w:space="0" w:color="auto"/>
            </w:tcBorders>
          </w:tcPr>
          <w:p w:rsidR="00D76C8A" w:rsidRPr="00BD4651" w:rsidRDefault="00D76C8A" w:rsidP="001B08F3">
            <w:pPr>
              <w:autoSpaceDE w:val="0"/>
              <w:autoSpaceDN w:val="0"/>
              <w:adjustRightInd w:val="0"/>
              <w:jc w:val="center"/>
              <w:rPr>
                <w:sz w:val="22"/>
                <w:szCs w:val="22"/>
              </w:rPr>
            </w:pPr>
            <w:r w:rsidRPr="00BD4651">
              <w:rPr>
                <w:sz w:val="22"/>
                <w:szCs w:val="22"/>
              </w:rPr>
              <w:t>12</w:t>
            </w:r>
          </w:p>
        </w:tc>
      </w:tr>
      <w:tr w:rsidR="00D76C8A" w:rsidRPr="00BD4651" w:rsidTr="002F4587">
        <w:trPr>
          <w:trHeight w:val="278"/>
          <w:jc w:val="center"/>
        </w:trPr>
        <w:tc>
          <w:tcPr>
            <w:tcW w:w="2907" w:type="dxa"/>
            <w:shd w:val="clear" w:color="auto" w:fill="auto"/>
          </w:tcPr>
          <w:p w:rsidR="00D76C8A" w:rsidRPr="00BD4651" w:rsidRDefault="00D76C8A" w:rsidP="00585C06">
            <w:pPr>
              <w:autoSpaceDE w:val="0"/>
              <w:autoSpaceDN w:val="0"/>
              <w:adjustRightInd w:val="0"/>
              <w:rPr>
                <w:sz w:val="22"/>
                <w:szCs w:val="22"/>
              </w:rPr>
            </w:pPr>
            <w:r w:rsidRPr="00BD4651">
              <w:rPr>
                <w:sz w:val="22"/>
                <w:szCs w:val="22"/>
              </w:rPr>
              <w:t xml:space="preserve">Planning Committee Meeting </w:t>
            </w:r>
          </w:p>
        </w:tc>
        <w:tc>
          <w:tcPr>
            <w:tcW w:w="540" w:type="dxa"/>
            <w:shd w:val="clear" w:color="auto" w:fill="B3B3B3"/>
          </w:tcPr>
          <w:p w:rsidR="00D76C8A" w:rsidRPr="00BD4651" w:rsidRDefault="00D76C8A" w:rsidP="001B08F3">
            <w:pPr>
              <w:autoSpaceDE w:val="0"/>
              <w:autoSpaceDN w:val="0"/>
              <w:adjustRightInd w:val="0"/>
              <w:rPr>
                <w:sz w:val="22"/>
                <w:szCs w:val="22"/>
              </w:rPr>
            </w:pPr>
          </w:p>
        </w:tc>
        <w:tc>
          <w:tcPr>
            <w:tcW w:w="540" w:type="dxa"/>
            <w:tcBorders>
              <w:bottom w:val="single" w:sz="4" w:space="0" w:color="auto"/>
            </w:tcBorders>
            <w:shd w:val="clear" w:color="auto" w:fill="B3B3B3"/>
          </w:tcPr>
          <w:p w:rsidR="00D76C8A" w:rsidRPr="00BD4651" w:rsidRDefault="00D76C8A" w:rsidP="001B08F3">
            <w:pPr>
              <w:autoSpaceDE w:val="0"/>
              <w:autoSpaceDN w:val="0"/>
              <w:adjustRightInd w:val="0"/>
              <w:rPr>
                <w:sz w:val="22"/>
                <w:szCs w:val="22"/>
              </w:rPr>
            </w:pPr>
          </w:p>
        </w:tc>
        <w:tc>
          <w:tcPr>
            <w:tcW w:w="540" w:type="dxa"/>
            <w:tcBorders>
              <w:bottom w:val="single" w:sz="4" w:space="0" w:color="auto"/>
            </w:tcBorders>
            <w:shd w:val="clear" w:color="auto" w:fill="A6A6A6" w:themeFill="background1" w:themeFillShade="A6"/>
          </w:tcPr>
          <w:p w:rsidR="00D76C8A" w:rsidRPr="00BD4651" w:rsidRDefault="00D76C8A" w:rsidP="001B08F3">
            <w:pPr>
              <w:autoSpaceDE w:val="0"/>
              <w:autoSpaceDN w:val="0"/>
              <w:adjustRightInd w:val="0"/>
              <w:rPr>
                <w:sz w:val="22"/>
                <w:szCs w:val="22"/>
              </w:rPr>
            </w:pPr>
          </w:p>
        </w:tc>
        <w:tc>
          <w:tcPr>
            <w:tcW w:w="540" w:type="dxa"/>
            <w:tcBorders>
              <w:bottom w:val="single" w:sz="4" w:space="0" w:color="auto"/>
            </w:tcBorders>
            <w:shd w:val="clear" w:color="auto" w:fill="A6A6A6" w:themeFill="background1" w:themeFillShade="A6"/>
          </w:tcPr>
          <w:p w:rsidR="00D76C8A" w:rsidRPr="00BD4651" w:rsidRDefault="00D76C8A" w:rsidP="001B08F3">
            <w:pPr>
              <w:autoSpaceDE w:val="0"/>
              <w:autoSpaceDN w:val="0"/>
              <w:adjustRightInd w:val="0"/>
              <w:rPr>
                <w:sz w:val="22"/>
                <w:szCs w:val="22"/>
              </w:rPr>
            </w:pPr>
          </w:p>
        </w:tc>
        <w:tc>
          <w:tcPr>
            <w:tcW w:w="630" w:type="dxa"/>
            <w:tcBorders>
              <w:bottom w:val="single" w:sz="4" w:space="0" w:color="auto"/>
            </w:tcBorders>
            <w:shd w:val="clear" w:color="auto" w:fill="auto"/>
          </w:tcPr>
          <w:p w:rsidR="00D76C8A" w:rsidRPr="00BD4651" w:rsidRDefault="00D76C8A" w:rsidP="001B08F3">
            <w:pPr>
              <w:autoSpaceDE w:val="0"/>
              <w:autoSpaceDN w:val="0"/>
              <w:adjustRightInd w:val="0"/>
              <w:rPr>
                <w:sz w:val="22"/>
                <w:szCs w:val="22"/>
              </w:rPr>
            </w:pPr>
          </w:p>
        </w:tc>
        <w:tc>
          <w:tcPr>
            <w:tcW w:w="654" w:type="dxa"/>
            <w:tcBorders>
              <w:bottom w:val="single" w:sz="4" w:space="0" w:color="auto"/>
            </w:tcBorders>
            <w:shd w:val="clear" w:color="auto" w:fill="auto"/>
          </w:tcPr>
          <w:p w:rsidR="00D76C8A" w:rsidRPr="00BD4651" w:rsidRDefault="00D76C8A" w:rsidP="001B08F3">
            <w:pPr>
              <w:autoSpaceDE w:val="0"/>
              <w:autoSpaceDN w:val="0"/>
              <w:adjustRightInd w:val="0"/>
              <w:rPr>
                <w:sz w:val="22"/>
                <w:szCs w:val="22"/>
              </w:rPr>
            </w:pPr>
          </w:p>
        </w:tc>
        <w:tc>
          <w:tcPr>
            <w:tcW w:w="654" w:type="dxa"/>
            <w:tcBorders>
              <w:bottom w:val="single" w:sz="4" w:space="0" w:color="auto"/>
            </w:tcBorders>
          </w:tcPr>
          <w:p w:rsidR="00D76C8A" w:rsidRPr="00BD4651" w:rsidRDefault="00D76C8A" w:rsidP="001B08F3">
            <w:pPr>
              <w:autoSpaceDE w:val="0"/>
              <w:autoSpaceDN w:val="0"/>
              <w:adjustRightInd w:val="0"/>
              <w:jc w:val="center"/>
              <w:rPr>
                <w:sz w:val="22"/>
                <w:szCs w:val="22"/>
              </w:rPr>
            </w:pPr>
          </w:p>
        </w:tc>
        <w:tc>
          <w:tcPr>
            <w:tcW w:w="654" w:type="dxa"/>
            <w:tcBorders>
              <w:bottom w:val="single" w:sz="4" w:space="0" w:color="auto"/>
            </w:tcBorders>
          </w:tcPr>
          <w:p w:rsidR="00D76C8A" w:rsidRPr="00BD4651" w:rsidRDefault="00D76C8A" w:rsidP="001B08F3">
            <w:pPr>
              <w:autoSpaceDE w:val="0"/>
              <w:autoSpaceDN w:val="0"/>
              <w:adjustRightInd w:val="0"/>
              <w:jc w:val="center"/>
              <w:rPr>
                <w:sz w:val="22"/>
                <w:szCs w:val="22"/>
              </w:rPr>
            </w:pPr>
          </w:p>
        </w:tc>
        <w:tc>
          <w:tcPr>
            <w:tcW w:w="654" w:type="dxa"/>
            <w:tcBorders>
              <w:bottom w:val="single" w:sz="4" w:space="0" w:color="auto"/>
            </w:tcBorders>
          </w:tcPr>
          <w:p w:rsidR="00D76C8A" w:rsidRPr="00BD4651" w:rsidRDefault="00D76C8A" w:rsidP="001B08F3">
            <w:pPr>
              <w:autoSpaceDE w:val="0"/>
              <w:autoSpaceDN w:val="0"/>
              <w:adjustRightInd w:val="0"/>
              <w:jc w:val="center"/>
              <w:rPr>
                <w:sz w:val="22"/>
                <w:szCs w:val="22"/>
              </w:rPr>
            </w:pPr>
          </w:p>
        </w:tc>
        <w:tc>
          <w:tcPr>
            <w:tcW w:w="654" w:type="dxa"/>
            <w:tcBorders>
              <w:bottom w:val="single" w:sz="4" w:space="0" w:color="auto"/>
            </w:tcBorders>
          </w:tcPr>
          <w:p w:rsidR="00D76C8A" w:rsidRPr="00BD4651" w:rsidRDefault="00D76C8A" w:rsidP="001B08F3">
            <w:pPr>
              <w:autoSpaceDE w:val="0"/>
              <w:autoSpaceDN w:val="0"/>
              <w:adjustRightInd w:val="0"/>
              <w:jc w:val="center"/>
              <w:rPr>
                <w:sz w:val="22"/>
                <w:szCs w:val="22"/>
              </w:rPr>
            </w:pPr>
          </w:p>
        </w:tc>
        <w:tc>
          <w:tcPr>
            <w:tcW w:w="654" w:type="dxa"/>
            <w:tcBorders>
              <w:bottom w:val="single" w:sz="4" w:space="0" w:color="auto"/>
            </w:tcBorders>
          </w:tcPr>
          <w:p w:rsidR="00D76C8A" w:rsidRPr="00BD4651" w:rsidRDefault="00D76C8A" w:rsidP="001B08F3">
            <w:pPr>
              <w:autoSpaceDE w:val="0"/>
              <w:autoSpaceDN w:val="0"/>
              <w:adjustRightInd w:val="0"/>
              <w:jc w:val="center"/>
              <w:rPr>
                <w:sz w:val="22"/>
                <w:szCs w:val="22"/>
              </w:rPr>
            </w:pPr>
          </w:p>
        </w:tc>
        <w:tc>
          <w:tcPr>
            <w:tcW w:w="654" w:type="dxa"/>
            <w:tcBorders>
              <w:bottom w:val="single" w:sz="4" w:space="0" w:color="auto"/>
            </w:tcBorders>
          </w:tcPr>
          <w:p w:rsidR="00D76C8A" w:rsidRPr="00BD4651" w:rsidRDefault="00D76C8A" w:rsidP="001B08F3">
            <w:pPr>
              <w:autoSpaceDE w:val="0"/>
              <w:autoSpaceDN w:val="0"/>
              <w:adjustRightInd w:val="0"/>
              <w:jc w:val="center"/>
              <w:rPr>
                <w:sz w:val="22"/>
                <w:szCs w:val="22"/>
              </w:rPr>
            </w:pPr>
          </w:p>
        </w:tc>
      </w:tr>
      <w:tr w:rsidR="00D76C8A" w:rsidRPr="00BD4651" w:rsidTr="002F4587">
        <w:trPr>
          <w:trHeight w:val="278"/>
          <w:jc w:val="center"/>
        </w:trPr>
        <w:tc>
          <w:tcPr>
            <w:tcW w:w="2907" w:type="dxa"/>
            <w:shd w:val="clear" w:color="auto" w:fill="auto"/>
          </w:tcPr>
          <w:p w:rsidR="00D76C8A" w:rsidRPr="00BD4651" w:rsidRDefault="00D76C8A" w:rsidP="001B08F3">
            <w:pPr>
              <w:autoSpaceDE w:val="0"/>
              <w:autoSpaceDN w:val="0"/>
              <w:adjustRightInd w:val="0"/>
              <w:rPr>
                <w:sz w:val="22"/>
                <w:szCs w:val="22"/>
              </w:rPr>
            </w:pPr>
            <w:r w:rsidRPr="00BD4651">
              <w:rPr>
                <w:sz w:val="22"/>
                <w:szCs w:val="22"/>
              </w:rPr>
              <w:t>Select study area and households</w:t>
            </w:r>
          </w:p>
        </w:tc>
        <w:tc>
          <w:tcPr>
            <w:tcW w:w="540" w:type="dxa"/>
            <w:shd w:val="clear" w:color="auto" w:fill="B3B3B3"/>
          </w:tcPr>
          <w:p w:rsidR="00D76C8A" w:rsidRPr="00BD4651" w:rsidRDefault="00D76C8A" w:rsidP="001B08F3">
            <w:pPr>
              <w:autoSpaceDE w:val="0"/>
              <w:autoSpaceDN w:val="0"/>
              <w:adjustRightInd w:val="0"/>
              <w:rPr>
                <w:sz w:val="22"/>
                <w:szCs w:val="22"/>
              </w:rPr>
            </w:pPr>
          </w:p>
        </w:tc>
        <w:tc>
          <w:tcPr>
            <w:tcW w:w="540" w:type="dxa"/>
            <w:tcBorders>
              <w:bottom w:val="single" w:sz="4" w:space="0" w:color="auto"/>
            </w:tcBorders>
            <w:shd w:val="clear" w:color="auto" w:fill="B3B3B3"/>
          </w:tcPr>
          <w:p w:rsidR="00D76C8A" w:rsidRPr="00BD4651" w:rsidRDefault="00D76C8A" w:rsidP="001B08F3">
            <w:pPr>
              <w:autoSpaceDE w:val="0"/>
              <w:autoSpaceDN w:val="0"/>
              <w:adjustRightInd w:val="0"/>
              <w:rPr>
                <w:sz w:val="22"/>
                <w:szCs w:val="22"/>
              </w:rPr>
            </w:pPr>
          </w:p>
        </w:tc>
        <w:tc>
          <w:tcPr>
            <w:tcW w:w="540" w:type="dxa"/>
            <w:tcBorders>
              <w:bottom w:val="single" w:sz="4" w:space="0" w:color="auto"/>
            </w:tcBorders>
            <w:shd w:val="clear" w:color="auto" w:fill="auto"/>
          </w:tcPr>
          <w:p w:rsidR="00D76C8A" w:rsidRPr="00BD4651" w:rsidRDefault="00D76C8A" w:rsidP="001B08F3">
            <w:pPr>
              <w:autoSpaceDE w:val="0"/>
              <w:autoSpaceDN w:val="0"/>
              <w:adjustRightInd w:val="0"/>
              <w:rPr>
                <w:sz w:val="22"/>
                <w:szCs w:val="22"/>
              </w:rPr>
            </w:pPr>
          </w:p>
        </w:tc>
        <w:tc>
          <w:tcPr>
            <w:tcW w:w="540" w:type="dxa"/>
            <w:tcBorders>
              <w:bottom w:val="single" w:sz="4" w:space="0" w:color="auto"/>
            </w:tcBorders>
            <w:shd w:val="clear" w:color="auto" w:fill="auto"/>
          </w:tcPr>
          <w:p w:rsidR="00D76C8A" w:rsidRPr="00BD4651" w:rsidRDefault="00D76C8A" w:rsidP="001B08F3">
            <w:pPr>
              <w:autoSpaceDE w:val="0"/>
              <w:autoSpaceDN w:val="0"/>
              <w:adjustRightInd w:val="0"/>
              <w:rPr>
                <w:sz w:val="22"/>
                <w:szCs w:val="22"/>
              </w:rPr>
            </w:pPr>
          </w:p>
        </w:tc>
        <w:tc>
          <w:tcPr>
            <w:tcW w:w="630" w:type="dxa"/>
            <w:tcBorders>
              <w:bottom w:val="single" w:sz="4" w:space="0" w:color="auto"/>
            </w:tcBorders>
            <w:shd w:val="clear" w:color="auto" w:fill="auto"/>
          </w:tcPr>
          <w:p w:rsidR="00D76C8A" w:rsidRPr="00BD4651" w:rsidRDefault="00D76C8A" w:rsidP="001B08F3">
            <w:pPr>
              <w:autoSpaceDE w:val="0"/>
              <w:autoSpaceDN w:val="0"/>
              <w:adjustRightInd w:val="0"/>
              <w:rPr>
                <w:sz w:val="22"/>
                <w:szCs w:val="22"/>
              </w:rPr>
            </w:pPr>
          </w:p>
        </w:tc>
        <w:tc>
          <w:tcPr>
            <w:tcW w:w="654" w:type="dxa"/>
            <w:tcBorders>
              <w:bottom w:val="single" w:sz="4" w:space="0" w:color="auto"/>
            </w:tcBorders>
            <w:shd w:val="clear" w:color="auto" w:fill="auto"/>
          </w:tcPr>
          <w:p w:rsidR="00D76C8A" w:rsidRPr="00BD4651" w:rsidRDefault="00D76C8A" w:rsidP="001B08F3">
            <w:pPr>
              <w:autoSpaceDE w:val="0"/>
              <w:autoSpaceDN w:val="0"/>
              <w:adjustRightInd w:val="0"/>
              <w:rPr>
                <w:sz w:val="22"/>
                <w:szCs w:val="22"/>
              </w:rPr>
            </w:pPr>
          </w:p>
        </w:tc>
        <w:tc>
          <w:tcPr>
            <w:tcW w:w="654" w:type="dxa"/>
            <w:tcBorders>
              <w:bottom w:val="single" w:sz="4" w:space="0" w:color="auto"/>
            </w:tcBorders>
          </w:tcPr>
          <w:p w:rsidR="00D76C8A" w:rsidRPr="00BD4651" w:rsidRDefault="00D76C8A" w:rsidP="001B08F3">
            <w:pPr>
              <w:autoSpaceDE w:val="0"/>
              <w:autoSpaceDN w:val="0"/>
              <w:adjustRightInd w:val="0"/>
              <w:jc w:val="center"/>
              <w:rPr>
                <w:sz w:val="22"/>
                <w:szCs w:val="22"/>
              </w:rPr>
            </w:pPr>
          </w:p>
        </w:tc>
        <w:tc>
          <w:tcPr>
            <w:tcW w:w="654" w:type="dxa"/>
            <w:tcBorders>
              <w:bottom w:val="single" w:sz="4" w:space="0" w:color="auto"/>
            </w:tcBorders>
          </w:tcPr>
          <w:p w:rsidR="00D76C8A" w:rsidRPr="00BD4651" w:rsidRDefault="00D76C8A" w:rsidP="001B08F3">
            <w:pPr>
              <w:autoSpaceDE w:val="0"/>
              <w:autoSpaceDN w:val="0"/>
              <w:adjustRightInd w:val="0"/>
              <w:jc w:val="center"/>
              <w:rPr>
                <w:sz w:val="22"/>
                <w:szCs w:val="22"/>
              </w:rPr>
            </w:pPr>
          </w:p>
        </w:tc>
        <w:tc>
          <w:tcPr>
            <w:tcW w:w="654" w:type="dxa"/>
            <w:tcBorders>
              <w:bottom w:val="single" w:sz="4" w:space="0" w:color="auto"/>
            </w:tcBorders>
          </w:tcPr>
          <w:p w:rsidR="00D76C8A" w:rsidRPr="00BD4651" w:rsidRDefault="00D76C8A" w:rsidP="001B08F3">
            <w:pPr>
              <w:autoSpaceDE w:val="0"/>
              <w:autoSpaceDN w:val="0"/>
              <w:adjustRightInd w:val="0"/>
              <w:jc w:val="center"/>
              <w:rPr>
                <w:sz w:val="22"/>
                <w:szCs w:val="22"/>
              </w:rPr>
            </w:pPr>
          </w:p>
        </w:tc>
        <w:tc>
          <w:tcPr>
            <w:tcW w:w="654" w:type="dxa"/>
            <w:tcBorders>
              <w:bottom w:val="single" w:sz="4" w:space="0" w:color="auto"/>
            </w:tcBorders>
          </w:tcPr>
          <w:p w:rsidR="00D76C8A" w:rsidRPr="00BD4651" w:rsidRDefault="00D76C8A" w:rsidP="001B08F3">
            <w:pPr>
              <w:autoSpaceDE w:val="0"/>
              <w:autoSpaceDN w:val="0"/>
              <w:adjustRightInd w:val="0"/>
              <w:jc w:val="center"/>
              <w:rPr>
                <w:sz w:val="22"/>
                <w:szCs w:val="22"/>
              </w:rPr>
            </w:pPr>
          </w:p>
        </w:tc>
        <w:tc>
          <w:tcPr>
            <w:tcW w:w="654" w:type="dxa"/>
            <w:tcBorders>
              <w:bottom w:val="single" w:sz="4" w:space="0" w:color="auto"/>
            </w:tcBorders>
          </w:tcPr>
          <w:p w:rsidR="00D76C8A" w:rsidRPr="00BD4651" w:rsidRDefault="00D76C8A" w:rsidP="001B08F3">
            <w:pPr>
              <w:autoSpaceDE w:val="0"/>
              <w:autoSpaceDN w:val="0"/>
              <w:adjustRightInd w:val="0"/>
              <w:jc w:val="center"/>
              <w:rPr>
                <w:sz w:val="22"/>
                <w:szCs w:val="22"/>
              </w:rPr>
            </w:pPr>
          </w:p>
        </w:tc>
        <w:tc>
          <w:tcPr>
            <w:tcW w:w="654" w:type="dxa"/>
            <w:tcBorders>
              <w:bottom w:val="single" w:sz="4" w:space="0" w:color="auto"/>
            </w:tcBorders>
          </w:tcPr>
          <w:p w:rsidR="00D76C8A" w:rsidRPr="00BD4651" w:rsidRDefault="00D76C8A" w:rsidP="001B08F3">
            <w:pPr>
              <w:autoSpaceDE w:val="0"/>
              <w:autoSpaceDN w:val="0"/>
              <w:adjustRightInd w:val="0"/>
              <w:jc w:val="center"/>
              <w:rPr>
                <w:sz w:val="22"/>
                <w:szCs w:val="22"/>
              </w:rPr>
            </w:pPr>
          </w:p>
        </w:tc>
      </w:tr>
      <w:tr w:rsidR="00D76C8A" w:rsidRPr="00BD4651" w:rsidTr="002F4587">
        <w:trPr>
          <w:jc w:val="center"/>
        </w:trPr>
        <w:tc>
          <w:tcPr>
            <w:tcW w:w="2907" w:type="dxa"/>
            <w:shd w:val="clear" w:color="auto" w:fill="auto"/>
          </w:tcPr>
          <w:p w:rsidR="00D76C8A" w:rsidRPr="00BD4651" w:rsidRDefault="00D76C8A" w:rsidP="001B08F3">
            <w:pPr>
              <w:autoSpaceDE w:val="0"/>
              <w:autoSpaceDN w:val="0"/>
              <w:adjustRightInd w:val="0"/>
              <w:rPr>
                <w:sz w:val="22"/>
                <w:szCs w:val="22"/>
              </w:rPr>
            </w:pPr>
            <w:r w:rsidRPr="00BD4651">
              <w:rPr>
                <w:sz w:val="22"/>
                <w:szCs w:val="22"/>
              </w:rPr>
              <w:t xml:space="preserve">Collect health information and </w:t>
            </w:r>
            <w:proofErr w:type="spellStart"/>
            <w:r w:rsidRPr="00BD4651">
              <w:rPr>
                <w:sz w:val="22"/>
                <w:szCs w:val="22"/>
              </w:rPr>
              <w:t>assess</w:t>
            </w:r>
            <w:proofErr w:type="spellEnd"/>
            <w:r w:rsidRPr="00BD4651">
              <w:rPr>
                <w:sz w:val="22"/>
                <w:szCs w:val="22"/>
              </w:rPr>
              <w:t xml:space="preserve"> health needs</w:t>
            </w:r>
          </w:p>
        </w:tc>
        <w:tc>
          <w:tcPr>
            <w:tcW w:w="540" w:type="dxa"/>
            <w:shd w:val="clear" w:color="auto" w:fill="auto"/>
          </w:tcPr>
          <w:p w:rsidR="00D76C8A" w:rsidRPr="00BD4651" w:rsidRDefault="00D76C8A" w:rsidP="001B08F3">
            <w:pPr>
              <w:autoSpaceDE w:val="0"/>
              <w:autoSpaceDN w:val="0"/>
              <w:adjustRightInd w:val="0"/>
              <w:rPr>
                <w:sz w:val="22"/>
                <w:szCs w:val="22"/>
              </w:rPr>
            </w:pPr>
          </w:p>
        </w:tc>
        <w:tc>
          <w:tcPr>
            <w:tcW w:w="540" w:type="dxa"/>
            <w:shd w:val="clear" w:color="auto" w:fill="B3B3B3"/>
          </w:tcPr>
          <w:p w:rsidR="00D76C8A" w:rsidRPr="00BD4651" w:rsidRDefault="00D76C8A" w:rsidP="001B08F3">
            <w:pPr>
              <w:autoSpaceDE w:val="0"/>
              <w:autoSpaceDN w:val="0"/>
              <w:adjustRightInd w:val="0"/>
              <w:rPr>
                <w:sz w:val="22"/>
                <w:szCs w:val="22"/>
              </w:rPr>
            </w:pPr>
          </w:p>
        </w:tc>
        <w:tc>
          <w:tcPr>
            <w:tcW w:w="540" w:type="dxa"/>
            <w:tcBorders>
              <w:bottom w:val="single" w:sz="4" w:space="0" w:color="auto"/>
            </w:tcBorders>
            <w:shd w:val="clear" w:color="auto" w:fill="B3B3B3"/>
          </w:tcPr>
          <w:p w:rsidR="00D76C8A" w:rsidRPr="00BD4651" w:rsidRDefault="00D76C8A" w:rsidP="001B08F3">
            <w:pPr>
              <w:autoSpaceDE w:val="0"/>
              <w:autoSpaceDN w:val="0"/>
              <w:adjustRightInd w:val="0"/>
              <w:rPr>
                <w:sz w:val="22"/>
                <w:szCs w:val="22"/>
              </w:rPr>
            </w:pPr>
          </w:p>
        </w:tc>
        <w:tc>
          <w:tcPr>
            <w:tcW w:w="540" w:type="dxa"/>
            <w:tcBorders>
              <w:bottom w:val="single" w:sz="4" w:space="0" w:color="auto"/>
            </w:tcBorders>
            <w:shd w:val="clear" w:color="auto" w:fill="B3B3B3"/>
          </w:tcPr>
          <w:p w:rsidR="00D76C8A" w:rsidRPr="00BD4651" w:rsidRDefault="00D76C8A" w:rsidP="001B08F3">
            <w:pPr>
              <w:autoSpaceDE w:val="0"/>
              <w:autoSpaceDN w:val="0"/>
              <w:adjustRightInd w:val="0"/>
              <w:rPr>
                <w:sz w:val="22"/>
                <w:szCs w:val="22"/>
              </w:rPr>
            </w:pPr>
          </w:p>
        </w:tc>
        <w:tc>
          <w:tcPr>
            <w:tcW w:w="630" w:type="dxa"/>
            <w:shd w:val="clear" w:color="auto" w:fill="B3B3B3"/>
          </w:tcPr>
          <w:p w:rsidR="00D76C8A" w:rsidRPr="00BD4651" w:rsidRDefault="00D76C8A" w:rsidP="001B08F3">
            <w:pPr>
              <w:autoSpaceDE w:val="0"/>
              <w:autoSpaceDN w:val="0"/>
              <w:adjustRightInd w:val="0"/>
              <w:rPr>
                <w:sz w:val="22"/>
                <w:szCs w:val="22"/>
              </w:rPr>
            </w:pPr>
          </w:p>
        </w:tc>
        <w:tc>
          <w:tcPr>
            <w:tcW w:w="654" w:type="dxa"/>
            <w:shd w:val="clear" w:color="auto" w:fill="B3B3B3"/>
          </w:tcPr>
          <w:p w:rsidR="00D76C8A" w:rsidRPr="00BD4651" w:rsidRDefault="00D76C8A" w:rsidP="001B08F3">
            <w:pPr>
              <w:autoSpaceDE w:val="0"/>
              <w:autoSpaceDN w:val="0"/>
              <w:adjustRightInd w:val="0"/>
              <w:rPr>
                <w:sz w:val="22"/>
                <w:szCs w:val="22"/>
              </w:rPr>
            </w:pPr>
          </w:p>
        </w:tc>
        <w:tc>
          <w:tcPr>
            <w:tcW w:w="654" w:type="dxa"/>
            <w:shd w:val="clear" w:color="auto" w:fill="B3B3B3"/>
          </w:tcPr>
          <w:p w:rsidR="00D76C8A" w:rsidRPr="00BD4651" w:rsidRDefault="00D76C8A" w:rsidP="001B08F3">
            <w:pPr>
              <w:autoSpaceDE w:val="0"/>
              <w:autoSpaceDN w:val="0"/>
              <w:adjustRightInd w:val="0"/>
              <w:jc w:val="center"/>
              <w:rPr>
                <w:sz w:val="22"/>
                <w:szCs w:val="22"/>
              </w:rPr>
            </w:pPr>
          </w:p>
        </w:tc>
        <w:tc>
          <w:tcPr>
            <w:tcW w:w="654" w:type="dxa"/>
            <w:shd w:val="clear" w:color="auto" w:fill="B3B3B3"/>
          </w:tcPr>
          <w:p w:rsidR="00D76C8A" w:rsidRPr="00BD4651" w:rsidRDefault="00D76C8A" w:rsidP="001B08F3">
            <w:pPr>
              <w:autoSpaceDE w:val="0"/>
              <w:autoSpaceDN w:val="0"/>
              <w:adjustRightInd w:val="0"/>
              <w:jc w:val="center"/>
              <w:rPr>
                <w:sz w:val="22"/>
                <w:szCs w:val="22"/>
              </w:rPr>
            </w:pPr>
          </w:p>
        </w:tc>
        <w:tc>
          <w:tcPr>
            <w:tcW w:w="654" w:type="dxa"/>
            <w:shd w:val="clear" w:color="auto" w:fill="B3B3B3"/>
          </w:tcPr>
          <w:p w:rsidR="00D76C8A" w:rsidRPr="00BD4651" w:rsidRDefault="00D76C8A" w:rsidP="001B08F3">
            <w:pPr>
              <w:autoSpaceDE w:val="0"/>
              <w:autoSpaceDN w:val="0"/>
              <w:adjustRightInd w:val="0"/>
              <w:jc w:val="center"/>
              <w:rPr>
                <w:sz w:val="22"/>
                <w:szCs w:val="22"/>
              </w:rPr>
            </w:pPr>
          </w:p>
        </w:tc>
        <w:tc>
          <w:tcPr>
            <w:tcW w:w="654" w:type="dxa"/>
            <w:shd w:val="clear" w:color="auto" w:fill="B3B3B3"/>
          </w:tcPr>
          <w:p w:rsidR="00D76C8A" w:rsidRPr="00BD4651" w:rsidRDefault="00D76C8A" w:rsidP="001B08F3">
            <w:pPr>
              <w:autoSpaceDE w:val="0"/>
              <w:autoSpaceDN w:val="0"/>
              <w:adjustRightInd w:val="0"/>
              <w:jc w:val="center"/>
              <w:rPr>
                <w:sz w:val="22"/>
                <w:szCs w:val="22"/>
              </w:rPr>
            </w:pPr>
          </w:p>
        </w:tc>
        <w:tc>
          <w:tcPr>
            <w:tcW w:w="654" w:type="dxa"/>
            <w:shd w:val="clear" w:color="auto" w:fill="B3B3B3"/>
          </w:tcPr>
          <w:p w:rsidR="00D76C8A" w:rsidRPr="00BD4651" w:rsidRDefault="00D76C8A" w:rsidP="001B08F3">
            <w:pPr>
              <w:autoSpaceDE w:val="0"/>
              <w:autoSpaceDN w:val="0"/>
              <w:adjustRightInd w:val="0"/>
              <w:jc w:val="center"/>
              <w:rPr>
                <w:sz w:val="22"/>
                <w:szCs w:val="22"/>
              </w:rPr>
            </w:pPr>
          </w:p>
        </w:tc>
        <w:tc>
          <w:tcPr>
            <w:tcW w:w="654" w:type="dxa"/>
            <w:shd w:val="clear" w:color="auto" w:fill="B3B3B3"/>
          </w:tcPr>
          <w:p w:rsidR="00D76C8A" w:rsidRPr="00BD4651" w:rsidRDefault="00D76C8A" w:rsidP="001B08F3">
            <w:pPr>
              <w:autoSpaceDE w:val="0"/>
              <w:autoSpaceDN w:val="0"/>
              <w:adjustRightInd w:val="0"/>
              <w:jc w:val="center"/>
              <w:rPr>
                <w:sz w:val="22"/>
                <w:szCs w:val="22"/>
              </w:rPr>
            </w:pPr>
          </w:p>
        </w:tc>
      </w:tr>
      <w:tr w:rsidR="00D76C8A" w:rsidRPr="00BD4651" w:rsidTr="002F4587">
        <w:trPr>
          <w:jc w:val="center"/>
        </w:trPr>
        <w:tc>
          <w:tcPr>
            <w:tcW w:w="2907" w:type="dxa"/>
            <w:shd w:val="clear" w:color="auto" w:fill="auto"/>
            <w:vAlign w:val="center"/>
          </w:tcPr>
          <w:p w:rsidR="00D76C8A" w:rsidRPr="00BD4651" w:rsidRDefault="00D76C8A" w:rsidP="001B08F3">
            <w:pPr>
              <w:autoSpaceDE w:val="0"/>
              <w:autoSpaceDN w:val="0"/>
              <w:adjustRightInd w:val="0"/>
              <w:rPr>
                <w:sz w:val="22"/>
                <w:szCs w:val="22"/>
              </w:rPr>
            </w:pPr>
            <w:r w:rsidRPr="00BD4651">
              <w:rPr>
                <w:sz w:val="22"/>
                <w:szCs w:val="22"/>
              </w:rPr>
              <w:t>Distribute health education materials</w:t>
            </w:r>
          </w:p>
        </w:tc>
        <w:tc>
          <w:tcPr>
            <w:tcW w:w="540" w:type="dxa"/>
            <w:shd w:val="clear" w:color="auto" w:fill="auto"/>
          </w:tcPr>
          <w:p w:rsidR="00D76C8A" w:rsidRPr="00BD4651" w:rsidRDefault="00D76C8A" w:rsidP="001B08F3">
            <w:pPr>
              <w:autoSpaceDE w:val="0"/>
              <w:autoSpaceDN w:val="0"/>
              <w:adjustRightInd w:val="0"/>
              <w:rPr>
                <w:sz w:val="22"/>
                <w:szCs w:val="22"/>
              </w:rPr>
            </w:pPr>
          </w:p>
        </w:tc>
        <w:tc>
          <w:tcPr>
            <w:tcW w:w="540" w:type="dxa"/>
            <w:shd w:val="clear" w:color="auto" w:fill="BFBFBF"/>
          </w:tcPr>
          <w:p w:rsidR="00D76C8A" w:rsidRPr="00BD4651" w:rsidRDefault="00D76C8A" w:rsidP="001B08F3">
            <w:pPr>
              <w:autoSpaceDE w:val="0"/>
              <w:autoSpaceDN w:val="0"/>
              <w:adjustRightInd w:val="0"/>
              <w:rPr>
                <w:sz w:val="22"/>
                <w:szCs w:val="22"/>
              </w:rPr>
            </w:pPr>
          </w:p>
        </w:tc>
        <w:tc>
          <w:tcPr>
            <w:tcW w:w="540" w:type="dxa"/>
            <w:shd w:val="clear" w:color="auto" w:fill="BFBFBF"/>
          </w:tcPr>
          <w:p w:rsidR="00D76C8A" w:rsidRPr="00BD4651" w:rsidRDefault="00D76C8A" w:rsidP="001B08F3">
            <w:pPr>
              <w:autoSpaceDE w:val="0"/>
              <w:autoSpaceDN w:val="0"/>
              <w:adjustRightInd w:val="0"/>
              <w:rPr>
                <w:sz w:val="22"/>
                <w:szCs w:val="22"/>
              </w:rPr>
            </w:pPr>
          </w:p>
        </w:tc>
        <w:tc>
          <w:tcPr>
            <w:tcW w:w="540" w:type="dxa"/>
            <w:shd w:val="clear" w:color="auto" w:fill="BFBFBF"/>
          </w:tcPr>
          <w:p w:rsidR="00D76C8A" w:rsidRPr="00BD4651" w:rsidRDefault="00D76C8A" w:rsidP="001B08F3">
            <w:pPr>
              <w:autoSpaceDE w:val="0"/>
              <w:autoSpaceDN w:val="0"/>
              <w:adjustRightInd w:val="0"/>
              <w:rPr>
                <w:sz w:val="22"/>
                <w:szCs w:val="22"/>
              </w:rPr>
            </w:pPr>
          </w:p>
        </w:tc>
        <w:tc>
          <w:tcPr>
            <w:tcW w:w="630" w:type="dxa"/>
            <w:shd w:val="clear" w:color="auto" w:fill="BFBFBF"/>
          </w:tcPr>
          <w:p w:rsidR="00D76C8A" w:rsidRPr="00BD4651" w:rsidRDefault="00D76C8A" w:rsidP="001B08F3">
            <w:pPr>
              <w:autoSpaceDE w:val="0"/>
              <w:autoSpaceDN w:val="0"/>
              <w:adjustRightInd w:val="0"/>
              <w:rPr>
                <w:sz w:val="22"/>
                <w:szCs w:val="22"/>
              </w:rPr>
            </w:pPr>
          </w:p>
        </w:tc>
        <w:tc>
          <w:tcPr>
            <w:tcW w:w="654" w:type="dxa"/>
            <w:shd w:val="clear" w:color="auto" w:fill="BFBFBF"/>
          </w:tcPr>
          <w:p w:rsidR="00D76C8A" w:rsidRPr="00BD4651" w:rsidRDefault="00D76C8A" w:rsidP="001B08F3">
            <w:pPr>
              <w:autoSpaceDE w:val="0"/>
              <w:autoSpaceDN w:val="0"/>
              <w:adjustRightInd w:val="0"/>
              <w:rPr>
                <w:sz w:val="22"/>
                <w:szCs w:val="22"/>
              </w:rPr>
            </w:pPr>
          </w:p>
        </w:tc>
        <w:tc>
          <w:tcPr>
            <w:tcW w:w="654" w:type="dxa"/>
            <w:shd w:val="clear" w:color="auto" w:fill="BFBFBF"/>
          </w:tcPr>
          <w:p w:rsidR="00D76C8A" w:rsidRPr="00BD4651" w:rsidRDefault="00D76C8A" w:rsidP="001B08F3">
            <w:pPr>
              <w:autoSpaceDE w:val="0"/>
              <w:autoSpaceDN w:val="0"/>
              <w:adjustRightInd w:val="0"/>
              <w:rPr>
                <w:sz w:val="22"/>
                <w:szCs w:val="22"/>
              </w:rPr>
            </w:pPr>
          </w:p>
        </w:tc>
        <w:tc>
          <w:tcPr>
            <w:tcW w:w="654" w:type="dxa"/>
            <w:shd w:val="clear" w:color="auto" w:fill="BFBFBF"/>
          </w:tcPr>
          <w:p w:rsidR="00D76C8A" w:rsidRPr="00BD4651" w:rsidRDefault="00D76C8A" w:rsidP="001B08F3">
            <w:pPr>
              <w:autoSpaceDE w:val="0"/>
              <w:autoSpaceDN w:val="0"/>
              <w:adjustRightInd w:val="0"/>
              <w:rPr>
                <w:sz w:val="22"/>
                <w:szCs w:val="22"/>
              </w:rPr>
            </w:pPr>
          </w:p>
        </w:tc>
        <w:tc>
          <w:tcPr>
            <w:tcW w:w="654" w:type="dxa"/>
            <w:shd w:val="clear" w:color="auto" w:fill="BFBFBF"/>
          </w:tcPr>
          <w:p w:rsidR="00D76C8A" w:rsidRPr="00BD4651" w:rsidRDefault="00D76C8A" w:rsidP="001B08F3">
            <w:pPr>
              <w:autoSpaceDE w:val="0"/>
              <w:autoSpaceDN w:val="0"/>
              <w:adjustRightInd w:val="0"/>
              <w:rPr>
                <w:sz w:val="22"/>
                <w:szCs w:val="22"/>
              </w:rPr>
            </w:pPr>
          </w:p>
        </w:tc>
        <w:tc>
          <w:tcPr>
            <w:tcW w:w="654" w:type="dxa"/>
            <w:shd w:val="clear" w:color="auto" w:fill="BFBFBF"/>
          </w:tcPr>
          <w:p w:rsidR="00D76C8A" w:rsidRPr="00BD4651" w:rsidRDefault="00D76C8A" w:rsidP="001B08F3">
            <w:pPr>
              <w:autoSpaceDE w:val="0"/>
              <w:autoSpaceDN w:val="0"/>
              <w:adjustRightInd w:val="0"/>
              <w:rPr>
                <w:sz w:val="22"/>
                <w:szCs w:val="22"/>
              </w:rPr>
            </w:pPr>
          </w:p>
        </w:tc>
        <w:tc>
          <w:tcPr>
            <w:tcW w:w="654" w:type="dxa"/>
            <w:shd w:val="clear" w:color="auto" w:fill="BFBFBF"/>
          </w:tcPr>
          <w:p w:rsidR="00D76C8A" w:rsidRPr="00BD4651" w:rsidRDefault="00D76C8A" w:rsidP="001B08F3">
            <w:pPr>
              <w:autoSpaceDE w:val="0"/>
              <w:autoSpaceDN w:val="0"/>
              <w:adjustRightInd w:val="0"/>
              <w:rPr>
                <w:sz w:val="22"/>
                <w:szCs w:val="22"/>
              </w:rPr>
            </w:pPr>
          </w:p>
        </w:tc>
        <w:tc>
          <w:tcPr>
            <w:tcW w:w="654" w:type="dxa"/>
            <w:shd w:val="clear" w:color="auto" w:fill="BFBFBF"/>
          </w:tcPr>
          <w:p w:rsidR="00D76C8A" w:rsidRPr="00BD4651" w:rsidRDefault="00D76C8A" w:rsidP="001B08F3">
            <w:pPr>
              <w:autoSpaceDE w:val="0"/>
              <w:autoSpaceDN w:val="0"/>
              <w:adjustRightInd w:val="0"/>
              <w:rPr>
                <w:sz w:val="22"/>
                <w:szCs w:val="22"/>
              </w:rPr>
            </w:pPr>
          </w:p>
        </w:tc>
      </w:tr>
      <w:tr w:rsidR="00A1120C" w:rsidRPr="00BD4651" w:rsidTr="002F4587">
        <w:trPr>
          <w:jc w:val="center"/>
        </w:trPr>
        <w:tc>
          <w:tcPr>
            <w:tcW w:w="2907" w:type="dxa"/>
            <w:shd w:val="clear" w:color="auto" w:fill="auto"/>
            <w:vAlign w:val="center"/>
          </w:tcPr>
          <w:p w:rsidR="00A1120C" w:rsidRPr="00BD4651" w:rsidRDefault="00A1120C" w:rsidP="001B08F3">
            <w:pPr>
              <w:autoSpaceDE w:val="0"/>
              <w:autoSpaceDN w:val="0"/>
              <w:adjustRightInd w:val="0"/>
              <w:rPr>
                <w:sz w:val="22"/>
                <w:szCs w:val="22"/>
              </w:rPr>
            </w:pPr>
            <w:r w:rsidRPr="00BD4651">
              <w:rPr>
                <w:sz w:val="22"/>
                <w:szCs w:val="22"/>
              </w:rPr>
              <w:t>Health fairs</w:t>
            </w:r>
          </w:p>
        </w:tc>
        <w:tc>
          <w:tcPr>
            <w:tcW w:w="540" w:type="dxa"/>
            <w:shd w:val="clear" w:color="auto" w:fill="auto"/>
          </w:tcPr>
          <w:p w:rsidR="00A1120C" w:rsidRPr="00BD4651" w:rsidRDefault="00A1120C" w:rsidP="001B08F3">
            <w:pPr>
              <w:autoSpaceDE w:val="0"/>
              <w:autoSpaceDN w:val="0"/>
              <w:adjustRightInd w:val="0"/>
              <w:rPr>
                <w:sz w:val="22"/>
                <w:szCs w:val="22"/>
              </w:rPr>
            </w:pPr>
          </w:p>
        </w:tc>
        <w:tc>
          <w:tcPr>
            <w:tcW w:w="540" w:type="dxa"/>
            <w:shd w:val="clear" w:color="auto" w:fill="auto"/>
          </w:tcPr>
          <w:p w:rsidR="00A1120C" w:rsidRPr="00BD4651" w:rsidRDefault="00A1120C" w:rsidP="001B08F3">
            <w:pPr>
              <w:autoSpaceDE w:val="0"/>
              <w:autoSpaceDN w:val="0"/>
              <w:adjustRightInd w:val="0"/>
              <w:rPr>
                <w:sz w:val="22"/>
                <w:szCs w:val="22"/>
              </w:rPr>
            </w:pPr>
          </w:p>
        </w:tc>
        <w:tc>
          <w:tcPr>
            <w:tcW w:w="540" w:type="dxa"/>
            <w:shd w:val="clear" w:color="auto" w:fill="A6A6A6" w:themeFill="background1" w:themeFillShade="A6"/>
          </w:tcPr>
          <w:p w:rsidR="00A1120C" w:rsidRPr="00BD4651" w:rsidRDefault="00A1120C" w:rsidP="001B08F3">
            <w:pPr>
              <w:autoSpaceDE w:val="0"/>
              <w:autoSpaceDN w:val="0"/>
              <w:adjustRightInd w:val="0"/>
              <w:rPr>
                <w:sz w:val="22"/>
                <w:szCs w:val="22"/>
              </w:rPr>
            </w:pPr>
          </w:p>
        </w:tc>
        <w:tc>
          <w:tcPr>
            <w:tcW w:w="540" w:type="dxa"/>
            <w:shd w:val="clear" w:color="auto" w:fill="A6A6A6" w:themeFill="background1" w:themeFillShade="A6"/>
          </w:tcPr>
          <w:p w:rsidR="00A1120C" w:rsidRPr="00BD4651" w:rsidRDefault="00A1120C" w:rsidP="001B08F3">
            <w:pPr>
              <w:autoSpaceDE w:val="0"/>
              <w:autoSpaceDN w:val="0"/>
              <w:adjustRightInd w:val="0"/>
              <w:rPr>
                <w:sz w:val="22"/>
                <w:szCs w:val="22"/>
              </w:rPr>
            </w:pPr>
          </w:p>
        </w:tc>
        <w:tc>
          <w:tcPr>
            <w:tcW w:w="630" w:type="dxa"/>
            <w:shd w:val="clear" w:color="auto" w:fill="A6A6A6" w:themeFill="background1" w:themeFillShade="A6"/>
          </w:tcPr>
          <w:p w:rsidR="00A1120C" w:rsidRPr="00BD4651" w:rsidRDefault="00A1120C" w:rsidP="001B08F3">
            <w:pPr>
              <w:autoSpaceDE w:val="0"/>
              <w:autoSpaceDN w:val="0"/>
              <w:adjustRightInd w:val="0"/>
              <w:rPr>
                <w:color w:val="FFFFFF" w:themeColor="background1"/>
                <w:sz w:val="22"/>
                <w:szCs w:val="22"/>
              </w:rPr>
            </w:pPr>
          </w:p>
        </w:tc>
        <w:tc>
          <w:tcPr>
            <w:tcW w:w="654" w:type="dxa"/>
            <w:shd w:val="clear" w:color="auto" w:fill="A6A6A6" w:themeFill="background1" w:themeFillShade="A6"/>
          </w:tcPr>
          <w:p w:rsidR="00A1120C" w:rsidRPr="00BD4651" w:rsidRDefault="00A1120C" w:rsidP="001B08F3">
            <w:pPr>
              <w:autoSpaceDE w:val="0"/>
              <w:autoSpaceDN w:val="0"/>
              <w:adjustRightInd w:val="0"/>
              <w:rPr>
                <w:color w:val="FFFFFF" w:themeColor="background1"/>
                <w:sz w:val="22"/>
                <w:szCs w:val="22"/>
              </w:rPr>
            </w:pPr>
          </w:p>
        </w:tc>
        <w:tc>
          <w:tcPr>
            <w:tcW w:w="654" w:type="dxa"/>
            <w:shd w:val="clear" w:color="auto" w:fill="A6A6A6" w:themeFill="background1" w:themeFillShade="A6"/>
          </w:tcPr>
          <w:p w:rsidR="00A1120C" w:rsidRPr="00BD4651" w:rsidRDefault="00A1120C" w:rsidP="001B08F3">
            <w:pPr>
              <w:autoSpaceDE w:val="0"/>
              <w:autoSpaceDN w:val="0"/>
              <w:adjustRightInd w:val="0"/>
              <w:rPr>
                <w:color w:val="FFFFFF" w:themeColor="background1"/>
                <w:sz w:val="22"/>
                <w:szCs w:val="22"/>
              </w:rPr>
            </w:pPr>
          </w:p>
        </w:tc>
        <w:tc>
          <w:tcPr>
            <w:tcW w:w="654" w:type="dxa"/>
            <w:shd w:val="clear" w:color="auto" w:fill="A6A6A6" w:themeFill="background1" w:themeFillShade="A6"/>
          </w:tcPr>
          <w:p w:rsidR="00A1120C" w:rsidRPr="00BD4651" w:rsidRDefault="00A1120C" w:rsidP="001B08F3">
            <w:pPr>
              <w:autoSpaceDE w:val="0"/>
              <w:autoSpaceDN w:val="0"/>
              <w:adjustRightInd w:val="0"/>
              <w:rPr>
                <w:color w:val="FFFFFF" w:themeColor="background1"/>
                <w:sz w:val="22"/>
                <w:szCs w:val="22"/>
              </w:rPr>
            </w:pPr>
          </w:p>
        </w:tc>
        <w:tc>
          <w:tcPr>
            <w:tcW w:w="654" w:type="dxa"/>
            <w:shd w:val="clear" w:color="auto" w:fill="A6A6A6" w:themeFill="background1" w:themeFillShade="A6"/>
          </w:tcPr>
          <w:p w:rsidR="00A1120C" w:rsidRPr="00BD4651" w:rsidRDefault="00A1120C" w:rsidP="001B08F3">
            <w:pPr>
              <w:autoSpaceDE w:val="0"/>
              <w:autoSpaceDN w:val="0"/>
              <w:adjustRightInd w:val="0"/>
              <w:rPr>
                <w:color w:val="FFFFFF" w:themeColor="background1"/>
                <w:sz w:val="22"/>
                <w:szCs w:val="22"/>
              </w:rPr>
            </w:pPr>
          </w:p>
        </w:tc>
        <w:tc>
          <w:tcPr>
            <w:tcW w:w="654" w:type="dxa"/>
            <w:shd w:val="clear" w:color="auto" w:fill="A6A6A6" w:themeFill="background1" w:themeFillShade="A6"/>
          </w:tcPr>
          <w:p w:rsidR="00A1120C" w:rsidRPr="00BD4651" w:rsidRDefault="00A1120C" w:rsidP="001B08F3">
            <w:pPr>
              <w:autoSpaceDE w:val="0"/>
              <w:autoSpaceDN w:val="0"/>
              <w:adjustRightInd w:val="0"/>
              <w:rPr>
                <w:sz w:val="22"/>
                <w:szCs w:val="22"/>
              </w:rPr>
            </w:pPr>
          </w:p>
        </w:tc>
        <w:tc>
          <w:tcPr>
            <w:tcW w:w="654" w:type="dxa"/>
            <w:shd w:val="clear" w:color="auto" w:fill="A6A6A6" w:themeFill="background1" w:themeFillShade="A6"/>
          </w:tcPr>
          <w:p w:rsidR="00A1120C" w:rsidRPr="00BD4651" w:rsidRDefault="00A1120C" w:rsidP="001B08F3">
            <w:pPr>
              <w:autoSpaceDE w:val="0"/>
              <w:autoSpaceDN w:val="0"/>
              <w:adjustRightInd w:val="0"/>
              <w:rPr>
                <w:sz w:val="22"/>
                <w:szCs w:val="22"/>
              </w:rPr>
            </w:pPr>
          </w:p>
        </w:tc>
        <w:tc>
          <w:tcPr>
            <w:tcW w:w="654" w:type="dxa"/>
            <w:shd w:val="clear" w:color="auto" w:fill="A6A6A6" w:themeFill="background1" w:themeFillShade="A6"/>
          </w:tcPr>
          <w:p w:rsidR="00A1120C" w:rsidRPr="00BD4651" w:rsidRDefault="00A1120C" w:rsidP="001B08F3">
            <w:pPr>
              <w:autoSpaceDE w:val="0"/>
              <w:autoSpaceDN w:val="0"/>
              <w:adjustRightInd w:val="0"/>
              <w:rPr>
                <w:sz w:val="22"/>
                <w:szCs w:val="22"/>
              </w:rPr>
            </w:pPr>
          </w:p>
        </w:tc>
      </w:tr>
      <w:tr w:rsidR="00D76C8A" w:rsidRPr="00BD4651" w:rsidTr="002F4587">
        <w:trPr>
          <w:jc w:val="center"/>
        </w:trPr>
        <w:tc>
          <w:tcPr>
            <w:tcW w:w="2907" w:type="dxa"/>
            <w:shd w:val="clear" w:color="auto" w:fill="auto"/>
            <w:vAlign w:val="center"/>
          </w:tcPr>
          <w:p w:rsidR="00D76C8A" w:rsidRPr="00BD4651" w:rsidRDefault="00D76C8A" w:rsidP="001B08F3">
            <w:pPr>
              <w:autoSpaceDE w:val="0"/>
              <w:autoSpaceDN w:val="0"/>
              <w:adjustRightInd w:val="0"/>
              <w:rPr>
                <w:sz w:val="22"/>
                <w:szCs w:val="22"/>
              </w:rPr>
            </w:pPr>
            <w:r w:rsidRPr="00BD4651">
              <w:rPr>
                <w:sz w:val="22"/>
                <w:szCs w:val="22"/>
              </w:rPr>
              <w:t>Analyze and report data</w:t>
            </w:r>
          </w:p>
        </w:tc>
        <w:tc>
          <w:tcPr>
            <w:tcW w:w="540" w:type="dxa"/>
            <w:shd w:val="clear" w:color="auto" w:fill="auto"/>
          </w:tcPr>
          <w:p w:rsidR="00D76C8A" w:rsidRPr="00BD4651" w:rsidRDefault="00D76C8A" w:rsidP="001B08F3">
            <w:pPr>
              <w:autoSpaceDE w:val="0"/>
              <w:autoSpaceDN w:val="0"/>
              <w:adjustRightInd w:val="0"/>
              <w:rPr>
                <w:sz w:val="22"/>
                <w:szCs w:val="22"/>
              </w:rPr>
            </w:pPr>
          </w:p>
        </w:tc>
        <w:tc>
          <w:tcPr>
            <w:tcW w:w="540" w:type="dxa"/>
            <w:shd w:val="clear" w:color="auto" w:fill="auto"/>
          </w:tcPr>
          <w:p w:rsidR="00D76C8A" w:rsidRPr="00BD4651" w:rsidRDefault="00D76C8A" w:rsidP="001B08F3">
            <w:pPr>
              <w:autoSpaceDE w:val="0"/>
              <w:autoSpaceDN w:val="0"/>
              <w:adjustRightInd w:val="0"/>
              <w:rPr>
                <w:sz w:val="22"/>
                <w:szCs w:val="22"/>
              </w:rPr>
            </w:pPr>
          </w:p>
        </w:tc>
        <w:tc>
          <w:tcPr>
            <w:tcW w:w="540" w:type="dxa"/>
            <w:shd w:val="clear" w:color="auto" w:fill="auto"/>
          </w:tcPr>
          <w:p w:rsidR="00D76C8A" w:rsidRPr="00BD4651" w:rsidRDefault="00D76C8A" w:rsidP="001B08F3">
            <w:pPr>
              <w:autoSpaceDE w:val="0"/>
              <w:autoSpaceDN w:val="0"/>
              <w:adjustRightInd w:val="0"/>
              <w:rPr>
                <w:sz w:val="22"/>
                <w:szCs w:val="22"/>
              </w:rPr>
            </w:pPr>
          </w:p>
        </w:tc>
        <w:tc>
          <w:tcPr>
            <w:tcW w:w="540" w:type="dxa"/>
            <w:shd w:val="clear" w:color="auto" w:fill="auto"/>
          </w:tcPr>
          <w:p w:rsidR="00D76C8A" w:rsidRPr="00BD4651" w:rsidRDefault="00D76C8A" w:rsidP="001B08F3">
            <w:pPr>
              <w:autoSpaceDE w:val="0"/>
              <w:autoSpaceDN w:val="0"/>
              <w:adjustRightInd w:val="0"/>
              <w:rPr>
                <w:sz w:val="22"/>
                <w:szCs w:val="22"/>
              </w:rPr>
            </w:pPr>
          </w:p>
        </w:tc>
        <w:tc>
          <w:tcPr>
            <w:tcW w:w="630" w:type="dxa"/>
            <w:shd w:val="clear" w:color="auto" w:fill="FFFFFF" w:themeFill="background1"/>
          </w:tcPr>
          <w:p w:rsidR="00D76C8A" w:rsidRPr="00BD4651" w:rsidRDefault="00D76C8A" w:rsidP="001B08F3">
            <w:pPr>
              <w:autoSpaceDE w:val="0"/>
              <w:autoSpaceDN w:val="0"/>
              <w:adjustRightInd w:val="0"/>
              <w:rPr>
                <w:color w:val="FFFFFF" w:themeColor="background1"/>
                <w:sz w:val="22"/>
                <w:szCs w:val="22"/>
              </w:rPr>
            </w:pPr>
          </w:p>
        </w:tc>
        <w:tc>
          <w:tcPr>
            <w:tcW w:w="654" w:type="dxa"/>
            <w:shd w:val="clear" w:color="auto" w:fill="FFFFFF" w:themeFill="background1"/>
          </w:tcPr>
          <w:p w:rsidR="00D76C8A" w:rsidRPr="00BD4651" w:rsidRDefault="00D76C8A" w:rsidP="001B08F3">
            <w:pPr>
              <w:autoSpaceDE w:val="0"/>
              <w:autoSpaceDN w:val="0"/>
              <w:adjustRightInd w:val="0"/>
              <w:rPr>
                <w:color w:val="FFFFFF" w:themeColor="background1"/>
                <w:sz w:val="22"/>
                <w:szCs w:val="22"/>
              </w:rPr>
            </w:pPr>
          </w:p>
        </w:tc>
        <w:tc>
          <w:tcPr>
            <w:tcW w:w="654" w:type="dxa"/>
            <w:shd w:val="clear" w:color="auto" w:fill="FFFFFF" w:themeFill="background1"/>
          </w:tcPr>
          <w:p w:rsidR="00D76C8A" w:rsidRPr="00BD4651" w:rsidRDefault="00D76C8A" w:rsidP="001B08F3">
            <w:pPr>
              <w:autoSpaceDE w:val="0"/>
              <w:autoSpaceDN w:val="0"/>
              <w:adjustRightInd w:val="0"/>
              <w:rPr>
                <w:color w:val="FFFFFF" w:themeColor="background1"/>
                <w:sz w:val="22"/>
                <w:szCs w:val="22"/>
              </w:rPr>
            </w:pPr>
          </w:p>
        </w:tc>
        <w:tc>
          <w:tcPr>
            <w:tcW w:w="654" w:type="dxa"/>
            <w:shd w:val="clear" w:color="auto" w:fill="FFFFFF" w:themeFill="background1"/>
          </w:tcPr>
          <w:p w:rsidR="00D76C8A" w:rsidRPr="00BD4651" w:rsidRDefault="00D76C8A" w:rsidP="001B08F3">
            <w:pPr>
              <w:autoSpaceDE w:val="0"/>
              <w:autoSpaceDN w:val="0"/>
              <w:adjustRightInd w:val="0"/>
              <w:rPr>
                <w:color w:val="FFFFFF" w:themeColor="background1"/>
                <w:sz w:val="22"/>
                <w:szCs w:val="22"/>
              </w:rPr>
            </w:pPr>
          </w:p>
        </w:tc>
        <w:tc>
          <w:tcPr>
            <w:tcW w:w="654" w:type="dxa"/>
            <w:shd w:val="clear" w:color="auto" w:fill="FFFFFF" w:themeFill="background1"/>
          </w:tcPr>
          <w:p w:rsidR="00D76C8A" w:rsidRPr="00BD4651" w:rsidRDefault="00D76C8A" w:rsidP="001B08F3">
            <w:pPr>
              <w:autoSpaceDE w:val="0"/>
              <w:autoSpaceDN w:val="0"/>
              <w:adjustRightInd w:val="0"/>
              <w:rPr>
                <w:color w:val="FFFFFF" w:themeColor="background1"/>
                <w:sz w:val="22"/>
                <w:szCs w:val="22"/>
              </w:rPr>
            </w:pPr>
          </w:p>
        </w:tc>
        <w:tc>
          <w:tcPr>
            <w:tcW w:w="654" w:type="dxa"/>
            <w:shd w:val="clear" w:color="auto" w:fill="808080" w:themeFill="background1" w:themeFillShade="80"/>
          </w:tcPr>
          <w:p w:rsidR="00D76C8A" w:rsidRPr="00BD4651" w:rsidRDefault="00D76C8A" w:rsidP="001B08F3">
            <w:pPr>
              <w:autoSpaceDE w:val="0"/>
              <w:autoSpaceDN w:val="0"/>
              <w:adjustRightInd w:val="0"/>
              <w:rPr>
                <w:sz w:val="22"/>
                <w:szCs w:val="22"/>
              </w:rPr>
            </w:pPr>
          </w:p>
        </w:tc>
        <w:tc>
          <w:tcPr>
            <w:tcW w:w="654" w:type="dxa"/>
            <w:shd w:val="clear" w:color="auto" w:fill="808080" w:themeFill="background1" w:themeFillShade="80"/>
          </w:tcPr>
          <w:p w:rsidR="00D76C8A" w:rsidRPr="00BD4651" w:rsidRDefault="00D76C8A" w:rsidP="001B08F3">
            <w:pPr>
              <w:autoSpaceDE w:val="0"/>
              <w:autoSpaceDN w:val="0"/>
              <w:adjustRightInd w:val="0"/>
              <w:rPr>
                <w:sz w:val="22"/>
                <w:szCs w:val="22"/>
              </w:rPr>
            </w:pPr>
          </w:p>
        </w:tc>
        <w:tc>
          <w:tcPr>
            <w:tcW w:w="654" w:type="dxa"/>
            <w:shd w:val="clear" w:color="auto" w:fill="808080" w:themeFill="background1" w:themeFillShade="80"/>
          </w:tcPr>
          <w:p w:rsidR="00D76C8A" w:rsidRPr="00BD4651" w:rsidRDefault="00D76C8A" w:rsidP="001B08F3">
            <w:pPr>
              <w:autoSpaceDE w:val="0"/>
              <w:autoSpaceDN w:val="0"/>
              <w:adjustRightInd w:val="0"/>
              <w:rPr>
                <w:sz w:val="22"/>
                <w:szCs w:val="22"/>
              </w:rPr>
            </w:pPr>
          </w:p>
        </w:tc>
      </w:tr>
    </w:tbl>
    <w:p w:rsidR="00D76C8A" w:rsidRPr="00BD4651" w:rsidRDefault="00D76C8A" w:rsidP="00D76C8A">
      <w:pPr>
        <w:spacing w:line="276" w:lineRule="auto"/>
        <w:rPr>
          <w:i/>
          <w:sz w:val="22"/>
          <w:szCs w:val="22"/>
        </w:rPr>
      </w:pPr>
    </w:p>
    <w:p w:rsidR="00BD4651" w:rsidRDefault="00BD4651" w:rsidP="00D76C8A">
      <w:pPr>
        <w:rPr>
          <w:color w:val="000000"/>
          <w:sz w:val="22"/>
          <w:szCs w:val="22"/>
          <w:u w:val="single"/>
        </w:rPr>
      </w:pPr>
    </w:p>
    <w:p w:rsidR="00BD4651" w:rsidRDefault="00BD4651" w:rsidP="00D76C8A">
      <w:pPr>
        <w:rPr>
          <w:color w:val="000000"/>
          <w:sz w:val="22"/>
          <w:szCs w:val="22"/>
          <w:u w:val="single"/>
        </w:rPr>
      </w:pPr>
    </w:p>
    <w:p w:rsidR="00BD4651" w:rsidRDefault="00BD4651" w:rsidP="00D76C8A">
      <w:pPr>
        <w:rPr>
          <w:color w:val="000000"/>
          <w:sz w:val="22"/>
          <w:szCs w:val="22"/>
          <w:u w:val="single"/>
        </w:rPr>
      </w:pPr>
    </w:p>
    <w:p w:rsidR="00BD4651" w:rsidRDefault="00BD4651" w:rsidP="00D76C8A">
      <w:pPr>
        <w:rPr>
          <w:color w:val="000000"/>
          <w:sz w:val="22"/>
          <w:szCs w:val="22"/>
          <w:u w:val="single"/>
        </w:rPr>
      </w:pPr>
    </w:p>
    <w:p w:rsidR="00D76C8A" w:rsidRPr="00BD4651" w:rsidRDefault="00D76C8A" w:rsidP="00D76C8A">
      <w:pPr>
        <w:rPr>
          <w:color w:val="000000"/>
          <w:sz w:val="22"/>
          <w:szCs w:val="22"/>
          <w:u w:val="single"/>
        </w:rPr>
      </w:pPr>
      <w:r w:rsidRPr="00BD4651">
        <w:rPr>
          <w:color w:val="000000"/>
          <w:sz w:val="22"/>
          <w:szCs w:val="22"/>
          <w:u w:val="single"/>
        </w:rPr>
        <w:lastRenderedPageBreak/>
        <w:t>References:</w:t>
      </w:r>
    </w:p>
    <w:p w:rsidR="00D76C8A" w:rsidRPr="00BD4651" w:rsidRDefault="00D76C8A" w:rsidP="00D76C8A">
      <w:pPr>
        <w:pStyle w:val="Heading1"/>
        <w:rPr>
          <w:b w:val="0"/>
          <w:color w:val="000000"/>
          <w:sz w:val="22"/>
          <w:szCs w:val="22"/>
        </w:rPr>
      </w:pPr>
      <w:proofErr w:type="spellStart"/>
      <w:r w:rsidRPr="00BD4651">
        <w:rPr>
          <w:b w:val="0"/>
          <w:sz w:val="22"/>
          <w:szCs w:val="22"/>
        </w:rPr>
        <w:t>Alazraki</w:t>
      </w:r>
      <w:proofErr w:type="spellEnd"/>
      <w:r w:rsidRPr="00BD4651">
        <w:rPr>
          <w:b w:val="0"/>
          <w:sz w:val="22"/>
          <w:szCs w:val="22"/>
        </w:rPr>
        <w:t xml:space="preserve">, M. Health effects of oil spills on humans -- More questions than answers. Available at: http://www.dailyfinance.com/story/health-effects-of-oil-spills-on-humans-more-questions-than-an/19530364/, </w:t>
      </w:r>
      <w:r w:rsidRPr="00BD4651">
        <w:rPr>
          <w:b w:val="0"/>
          <w:color w:val="000000"/>
          <w:sz w:val="22"/>
          <w:szCs w:val="22"/>
        </w:rPr>
        <w:t xml:space="preserve">accessed June 27, 2010. </w:t>
      </w:r>
    </w:p>
    <w:p w:rsidR="00945F55" w:rsidRPr="00BD4651" w:rsidRDefault="00945F55" w:rsidP="00D76C8A">
      <w:pPr>
        <w:pStyle w:val="Heading1"/>
        <w:rPr>
          <w:b w:val="0"/>
          <w:color w:val="000000"/>
          <w:sz w:val="22"/>
          <w:szCs w:val="22"/>
        </w:rPr>
      </w:pPr>
      <w:proofErr w:type="spellStart"/>
      <w:r w:rsidRPr="00BD4651">
        <w:rPr>
          <w:b w:val="0"/>
          <w:color w:val="000000"/>
          <w:sz w:val="22"/>
          <w:szCs w:val="22"/>
        </w:rPr>
        <w:t>Bradt</w:t>
      </w:r>
      <w:proofErr w:type="spellEnd"/>
      <w:r w:rsidRPr="00BD4651">
        <w:rPr>
          <w:b w:val="0"/>
          <w:color w:val="000000"/>
          <w:sz w:val="22"/>
          <w:szCs w:val="22"/>
        </w:rPr>
        <w:t xml:space="preserve"> DA, Drummond CM. Rapid epidemiological assessment of health status in displaced populations—an evaluation towards standardized minimum, essential data sets. </w:t>
      </w:r>
      <w:proofErr w:type="spellStart"/>
      <w:r w:rsidRPr="00BD4651">
        <w:rPr>
          <w:b w:val="0"/>
          <w:color w:val="000000"/>
          <w:sz w:val="22"/>
          <w:szCs w:val="22"/>
        </w:rPr>
        <w:t>Prehosp</w:t>
      </w:r>
      <w:proofErr w:type="spellEnd"/>
      <w:r w:rsidRPr="00BD4651">
        <w:rPr>
          <w:b w:val="0"/>
          <w:color w:val="000000"/>
          <w:sz w:val="22"/>
          <w:szCs w:val="22"/>
        </w:rPr>
        <w:t xml:space="preserve"> </w:t>
      </w:r>
      <w:proofErr w:type="spellStart"/>
      <w:r w:rsidRPr="00BD4651">
        <w:rPr>
          <w:b w:val="0"/>
          <w:color w:val="000000"/>
          <w:sz w:val="22"/>
          <w:szCs w:val="22"/>
        </w:rPr>
        <w:t>Diasaster</w:t>
      </w:r>
      <w:proofErr w:type="spellEnd"/>
      <w:r w:rsidRPr="00BD4651">
        <w:rPr>
          <w:b w:val="0"/>
          <w:color w:val="000000"/>
          <w:sz w:val="22"/>
          <w:szCs w:val="22"/>
        </w:rPr>
        <w:t xml:space="preserve"> Med 2002</w:t>
      </w:r>
      <w:proofErr w:type="gramStart"/>
      <w:r w:rsidRPr="00BD4651">
        <w:rPr>
          <w:b w:val="0"/>
          <w:color w:val="000000"/>
          <w:sz w:val="22"/>
          <w:szCs w:val="22"/>
        </w:rPr>
        <w:t>;17</w:t>
      </w:r>
      <w:proofErr w:type="gramEnd"/>
      <w:r w:rsidRPr="00BD4651">
        <w:rPr>
          <w:b w:val="0"/>
          <w:color w:val="000000"/>
          <w:sz w:val="22"/>
          <w:szCs w:val="22"/>
        </w:rPr>
        <w:t>(4): 178-185.</w:t>
      </w:r>
    </w:p>
    <w:p w:rsidR="00D76C8A" w:rsidRPr="00BD4651" w:rsidRDefault="00D76C8A" w:rsidP="00D76C8A">
      <w:pPr>
        <w:pStyle w:val="Heading1"/>
        <w:rPr>
          <w:b w:val="0"/>
          <w:color w:val="000000"/>
          <w:sz w:val="22"/>
          <w:szCs w:val="22"/>
        </w:rPr>
      </w:pPr>
      <w:r w:rsidRPr="00BD4651">
        <w:rPr>
          <w:b w:val="0"/>
          <w:color w:val="000000"/>
          <w:sz w:val="22"/>
          <w:szCs w:val="22"/>
        </w:rPr>
        <w:t xml:space="preserve">CDC. </w:t>
      </w:r>
      <w:r w:rsidRPr="00BD4651">
        <w:rPr>
          <w:b w:val="0"/>
          <w:sz w:val="22"/>
          <w:szCs w:val="22"/>
        </w:rPr>
        <w:t xml:space="preserve">Traumatic incident stress: Information for deepwater horizon response workers and volunteers. Available at: http://www.cdc.gov/niosh/topics/oilspillresponse/traumatic.html, </w:t>
      </w:r>
      <w:r w:rsidRPr="00BD4651">
        <w:rPr>
          <w:b w:val="0"/>
          <w:color w:val="000000"/>
          <w:sz w:val="22"/>
          <w:szCs w:val="22"/>
        </w:rPr>
        <w:t xml:space="preserve">accessed June 26, 2010. </w:t>
      </w:r>
    </w:p>
    <w:p w:rsidR="00B40885" w:rsidRPr="00BD4651" w:rsidRDefault="00B40885" w:rsidP="00D76C8A">
      <w:pPr>
        <w:rPr>
          <w:color w:val="000000"/>
          <w:sz w:val="22"/>
          <w:szCs w:val="22"/>
        </w:rPr>
      </w:pPr>
      <w:r w:rsidRPr="00BD4651">
        <w:rPr>
          <w:color w:val="000000"/>
          <w:sz w:val="22"/>
          <w:szCs w:val="22"/>
        </w:rPr>
        <w:t xml:space="preserve">Department of Health and Human Services (DHHS), Centers for Disease Control and Prevention (CDC). </w:t>
      </w:r>
      <w:proofErr w:type="gramStart"/>
      <w:r w:rsidRPr="00BD4651">
        <w:rPr>
          <w:color w:val="000000"/>
          <w:sz w:val="22"/>
          <w:szCs w:val="22"/>
        </w:rPr>
        <w:t>Community Assessment for Public Health Emergency Response (CASPER) Toolkit.</w:t>
      </w:r>
      <w:proofErr w:type="gramEnd"/>
      <w:r w:rsidRPr="00BD4651">
        <w:rPr>
          <w:color w:val="000000"/>
          <w:sz w:val="22"/>
          <w:szCs w:val="22"/>
        </w:rPr>
        <w:t xml:space="preserve"> Atlanta, GA: CDC; 2009.</w:t>
      </w:r>
    </w:p>
    <w:p w:rsidR="00D76C8A" w:rsidRPr="00BD4651" w:rsidRDefault="00D76C8A" w:rsidP="00D76C8A">
      <w:pPr>
        <w:spacing w:before="100" w:beforeAutospacing="1" w:after="100" w:afterAutospacing="1"/>
        <w:outlineLvl w:val="0"/>
        <w:rPr>
          <w:color w:val="000000"/>
          <w:sz w:val="22"/>
          <w:szCs w:val="22"/>
        </w:rPr>
      </w:pPr>
      <w:proofErr w:type="gramStart"/>
      <w:r w:rsidRPr="00BD4651">
        <w:rPr>
          <w:color w:val="000000"/>
          <w:sz w:val="22"/>
          <w:szCs w:val="22"/>
        </w:rPr>
        <w:t>Healthy Place.</w:t>
      </w:r>
      <w:proofErr w:type="gramEnd"/>
      <w:r w:rsidRPr="00BD4651">
        <w:rPr>
          <w:color w:val="000000"/>
          <w:sz w:val="22"/>
          <w:szCs w:val="22"/>
        </w:rPr>
        <w:t xml:space="preserve"> </w:t>
      </w:r>
      <w:proofErr w:type="gramStart"/>
      <w:r w:rsidRPr="00BD4651">
        <w:rPr>
          <w:color w:val="000000"/>
          <w:sz w:val="22"/>
          <w:szCs w:val="22"/>
        </w:rPr>
        <w:t>Online psychological tests.</w:t>
      </w:r>
      <w:proofErr w:type="gramEnd"/>
      <w:r w:rsidRPr="00BD4651">
        <w:rPr>
          <w:color w:val="000000"/>
          <w:sz w:val="22"/>
          <w:szCs w:val="22"/>
        </w:rPr>
        <w:t xml:space="preserve"> Available at: http://www.healthyplace.com/psychological-tests/, accessed </w:t>
      </w:r>
      <w:r w:rsidR="005A7AE1" w:rsidRPr="00BD4651">
        <w:rPr>
          <w:color w:val="000000"/>
          <w:sz w:val="22"/>
          <w:szCs w:val="22"/>
        </w:rPr>
        <w:t>November 1</w:t>
      </w:r>
      <w:r w:rsidRPr="00BD4651">
        <w:rPr>
          <w:color w:val="000000"/>
          <w:sz w:val="22"/>
          <w:szCs w:val="22"/>
        </w:rPr>
        <w:t xml:space="preserve">, 2010. </w:t>
      </w:r>
    </w:p>
    <w:p w:rsidR="00945F55" w:rsidRPr="00BD4651" w:rsidRDefault="00945F55" w:rsidP="00D76C8A">
      <w:pPr>
        <w:spacing w:before="100" w:beforeAutospacing="1" w:after="100" w:afterAutospacing="1"/>
        <w:outlineLvl w:val="0"/>
        <w:rPr>
          <w:color w:val="000000"/>
          <w:sz w:val="22"/>
          <w:szCs w:val="22"/>
        </w:rPr>
      </w:pPr>
      <w:proofErr w:type="gramStart"/>
      <w:r w:rsidRPr="00BD4651">
        <w:rPr>
          <w:color w:val="000000"/>
          <w:sz w:val="22"/>
          <w:szCs w:val="22"/>
        </w:rPr>
        <w:t xml:space="preserve">Henderson RH, </w:t>
      </w:r>
      <w:proofErr w:type="spellStart"/>
      <w:r w:rsidRPr="00BD4651">
        <w:rPr>
          <w:color w:val="000000"/>
          <w:sz w:val="22"/>
          <w:szCs w:val="22"/>
        </w:rPr>
        <w:t>Sundaresan</w:t>
      </w:r>
      <w:proofErr w:type="spellEnd"/>
      <w:r w:rsidRPr="00BD4651">
        <w:rPr>
          <w:color w:val="000000"/>
          <w:sz w:val="22"/>
          <w:szCs w:val="22"/>
        </w:rPr>
        <w:t xml:space="preserve"> T. Cluster sampling to assess immunization coverage.</w:t>
      </w:r>
      <w:proofErr w:type="gramEnd"/>
      <w:r w:rsidRPr="00BD4651">
        <w:rPr>
          <w:color w:val="000000"/>
          <w:sz w:val="22"/>
          <w:szCs w:val="22"/>
        </w:rPr>
        <w:t xml:space="preserve"> Bull World Health Organ 1982</w:t>
      </w:r>
      <w:proofErr w:type="gramStart"/>
      <w:r w:rsidRPr="00BD4651">
        <w:rPr>
          <w:color w:val="000000"/>
          <w:sz w:val="22"/>
          <w:szCs w:val="22"/>
        </w:rPr>
        <w:t>;60:253</w:t>
      </w:r>
      <w:proofErr w:type="gramEnd"/>
      <w:r w:rsidRPr="00BD4651">
        <w:rPr>
          <w:color w:val="000000"/>
          <w:sz w:val="22"/>
          <w:szCs w:val="22"/>
        </w:rPr>
        <w:t>-260.</w:t>
      </w:r>
    </w:p>
    <w:p w:rsidR="00C90E29" w:rsidRDefault="00D76C8A" w:rsidP="00C90E29">
      <w:pPr>
        <w:spacing w:after="240" w:line="276" w:lineRule="auto"/>
        <w:rPr>
          <w:rFonts w:ascii="Arial" w:hAnsi="Arial" w:cs="Arial"/>
          <w:b/>
          <w:i/>
          <w:sz w:val="20"/>
          <w:szCs w:val="20"/>
        </w:rPr>
      </w:pPr>
      <w:r w:rsidRPr="00310623">
        <w:rPr>
          <w:color w:val="000000"/>
        </w:rPr>
        <w:br w:type="page"/>
      </w:r>
      <w:r w:rsidR="00C90E29">
        <w:rPr>
          <w:rFonts w:ascii="Arial" w:hAnsi="Arial" w:cs="Arial"/>
          <w:sz w:val="20"/>
          <w:szCs w:val="20"/>
          <w:u w:val="single"/>
        </w:rPr>
        <w:lastRenderedPageBreak/>
        <w:t>Budget:</w:t>
      </w:r>
      <w:r w:rsidR="00C90E29">
        <w:rPr>
          <w:rFonts w:ascii="Arial" w:hAnsi="Arial" w:cs="Arial"/>
          <w:sz w:val="20"/>
          <w:szCs w:val="20"/>
        </w:rPr>
        <w:t xml:space="preserve">  </w:t>
      </w:r>
    </w:p>
    <w:p w:rsidR="00C90E29" w:rsidRDefault="00A6001A" w:rsidP="00C90E29">
      <w:pPr>
        <w:spacing w:after="240" w:line="276" w:lineRule="auto"/>
        <w:ind w:left="1080" w:hanging="360"/>
        <w:rPr>
          <w:rFonts w:ascii="Courier" w:hAnsi="Courier" w:cs="Courier"/>
          <w:sz w:val="19"/>
          <w:szCs w:val="19"/>
        </w:rPr>
      </w:pPr>
      <w:r w:rsidRPr="001C151D">
        <w:rPr>
          <w:rFonts w:ascii="Courier" w:hAnsi="Courier" w:cs="Courier"/>
          <w:sz w:val="19"/>
          <w:szCs w:val="19"/>
        </w:rPr>
        <w:object w:dxaOrig="9932" w:dyaOrig="10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522.75pt" o:ole="">
            <v:imagedata r:id="rId6" o:title=""/>
          </v:shape>
          <o:OLEObject Type="Embed" ProgID="Excel.Sheet.12" ShapeID="_x0000_i1025" DrawAspect="Content" ObjectID="_1350209105" r:id="rId7"/>
        </w:object>
      </w:r>
    </w:p>
    <w:p w:rsidR="0091237C" w:rsidRDefault="0091237C" w:rsidP="00D76C8A"/>
    <w:sectPr w:rsidR="0091237C" w:rsidSect="0091237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472" w:rsidRDefault="00087472" w:rsidP="005A7AE1">
      <w:r>
        <w:separator/>
      </w:r>
    </w:p>
  </w:endnote>
  <w:endnote w:type="continuationSeparator" w:id="0">
    <w:p w:rsidR="00087472" w:rsidRDefault="00087472" w:rsidP="005A7A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331235"/>
      <w:docPartObj>
        <w:docPartGallery w:val="Page Numbers (Bottom of Page)"/>
        <w:docPartUnique/>
      </w:docPartObj>
    </w:sdtPr>
    <w:sdtContent>
      <w:p w:rsidR="005A7AE1" w:rsidRDefault="001F55C9">
        <w:pPr>
          <w:pStyle w:val="Footer"/>
          <w:jc w:val="center"/>
        </w:pPr>
        <w:fldSimple w:instr=" PAGE   \* MERGEFORMAT ">
          <w:r w:rsidR="00BD4651">
            <w:rPr>
              <w:noProof/>
            </w:rPr>
            <w:t>2</w:t>
          </w:r>
        </w:fldSimple>
      </w:p>
    </w:sdtContent>
  </w:sdt>
  <w:p w:rsidR="005A7AE1" w:rsidRDefault="005A7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472" w:rsidRDefault="00087472" w:rsidP="005A7AE1">
      <w:r>
        <w:separator/>
      </w:r>
    </w:p>
  </w:footnote>
  <w:footnote w:type="continuationSeparator" w:id="0">
    <w:p w:rsidR="00087472" w:rsidRDefault="00087472" w:rsidP="005A7A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76C8A"/>
    <w:rsid w:val="00087472"/>
    <w:rsid w:val="00100558"/>
    <w:rsid w:val="00172E38"/>
    <w:rsid w:val="00196BEE"/>
    <w:rsid w:val="001C151D"/>
    <w:rsid w:val="001F55C9"/>
    <w:rsid w:val="00207EA5"/>
    <w:rsid w:val="00224EDF"/>
    <w:rsid w:val="002923D7"/>
    <w:rsid w:val="002F4587"/>
    <w:rsid w:val="00310623"/>
    <w:rsid w:val="00392292"/>
    <w:rsid w:val="003E300D"/>
    <w:rsid w:val="00457914"/>
    <w:rsid w:val="0054163C"/>
    <w:rsid w:val="00585C06"/>
    <w:rsid w:val="005A7AE1"/>
    <w:rsid w:val="00600B7A"/>
    <w:rsid w:val="006A7EA7"/>
    <w:rsid w:val="0073372B"/>
    <w:rsid w:val="008D38F5"/>
    <w:rsid w:val="0091237C"/>
    <w:rsid w:val="009237B0"/>
    <w:rsid w:val="00945F55"/>
    <w:rsid w:val="00992853"/>
    <w:rsid w:val="009F6771"/>
    <w:rsid w:val="00A1120C"/>
    <w:rsid w:val="00A46BF1"/>
    <w:rsid w:val="00A6001A"/>
    <w:rsid w:val="00A744BD"/>
    <w:rsid w:val="00AF0EB5"/>
    <w:rsid w:val="00AF3167"/>
    <w:rsid w:val="00B40885"/>
    <w:rsid w:val="00B90AB1"/>
    <w:rsid w:val="00BD4651"/>
    <w:rsid w:val="00C2286B"/>
    <w:rsid w:val="00C90E29"/>
    <w:rsid w:val="00D76C8A"/>
    <w:rsid w:val="00DE578A"/>
    <w:rsid w:val="00E14FC9"/>
    <w:rsid w:val="00ED4503"/>
    <w:rsid w:val="00FC6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8A"/>
    <w:pPr>
      <w:spacing w:after="0" w:line="240" w:lineRule="auto"/>
    </w:pPr>
    <w:rPr>
      <w:rFonts w:eastAsia="Times New Roman"/>
    </w:rPr>
  </w:style>
  <w:style w:type="paragraph" w:styleId="Heading1">
    <w:name w:val="heading 1"/>
    <w:basedOn w:val="Normal"/>
    <w:link w:val="Heading1Char"/>
    <w:uiPriority w:val="9"/>
    <w:qFormat/>
    <w:rsid w:val="00D76C8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C8A"/>
    <w:rPr>
      <w:rFonts w:eastAsia="Times New Roman"/>
      <w:b/>
      <w:bCs/>
      <w:kern w:val="36"/>
      <w:sz w:val="48"/>
      <w:szCs w:val="48"/>
    </w:rPr>
  </w:style>
  <w:style w:type="character" w:styleId="Emphasis">
    <w:name w:val="Emphasis"/>
    <w:basedOn w:val="DefaultParagraphFont"/>
    <w:uiPriority w:val="20"/>
    <w:qFormat/>
    <w:rsid w:val="00D76C8A"/>
    <w:rPr>
      <w:i/>
      <w:iCs/>
    </w:rPr>
  </w:style>
  <w:style w:type="paragraph" w:styleId="Title">
    <w:name w:val="Title"/>
    <w:basedOn w:val="Normal"/>
    <w:link w:val="TitleChar"/>
    <w:qFormat/>
    <w:rsid w:val="00D76C8A"/>
    <w:pPr>
      <w:jc w:val="center"/>
    </w:pPr>
    <w:rPr>
      <w:szCs w:val="20"/>
    </w:rPr>
  </w:style>
  <w:style w:type="character" w:customStyle="1" w:styleId="TitleChar">
    <w:name w:val="Title Char"/>
    <w:basedOn w:val="DefaultParagraphFont"/>
    <w:link w:val="Title"/>
    <w:rsid w:val="00D76C8A"/>
    <w:rPr>
      <w:rFonts w:eastAsia="Times New Roman"/>
      <w:szCs w:val="20"/>
    </w:rPr>
  </w:style>
  <w:style w:type="character" w:styleId="Hyperlink">
    <w:name w:val="Hyperlink"/>
    <w:basedOn w:val="DefaultParagraphFont"/>
    <w:uiPriority w:val="99"/>
    <w:unhideWhenUsed/>
    <w:rsid w:val="00ED4503"/>
    <w:rPr>
      <w:color w:val="0000FF" w:themeColor="hyperlink"/>
      <w:u w:val="single"/>
    </w:rPr>
  </w:style>
  <w:style w:type="paragraph" w:styleId="BalloonText">
    <w:name w:val="Balloon Text"/>
    <w:basedOn w:val="Normal"/>
    <w:link w:val="BalloonTextChar"/>
    <w:uiPriority w:val="99"/>
    <w:semiHidden/>
    <w:unhideWhenUsed/>
    <w:rsid w:val="00A1120C"/>
    <w:rPr>
      <w:rFonts w:ascii="Tahoma" w:hAnsi="Tahoma" w:cs="Tahoma"/>
      <w:sz w:val="16"/>
      <w:szCs w:val="16"/>
    </w:rPr>
  </w:style>
  <w:style w:type="character" w:customStyle="1" w:styleId="BalloonTextChar">
    <w:name w:val="Balloon Text Char"/>
    <w:basedOn w:val="DefaultParagraphFont"/>
    <w:link w:val="BalloonText"/>
    <w:uiPriority w:val="99"/>
    <w:semiHidden/>
    <w:rsid w:val="00A1120C"/>
    <w:rPr>
      <w:rFonts w:ascii="Tahoma" w:eastAsia="Times New Roman" w:hAnsi="Tahoma" w:cs="Tahoma"/>
      <w:sz w:val="16"/>
      <w:szCs w:val="16"/>
    </w:rPr>
  </w:style>
  <w:style w:type="paragraph" w:styleId="Header">
    <w:name w:val="header"/>
    <w:basedOn w:val="Normal"/>
    <w:link w:val="HeaderChar"/>
    <w:uiPriority w:val="99"/>
    <w:semiHidden/>
    <w:unhideWhenUsed/>
    <w:rsid w:val="005A7AE1"/>
    <w:pPr>
      <w:tabs>
        <w:tab w:val="center" w:pos="4680"/>
        <w:tab w:val="right" w:pos="9360"/>
      </w:tabs>
    </w:pPr>
  </w:style>
  <w:style w:type="character" w:customStyle="1" w:styleId="HeaderChar">
    <w:name w:val="Header Char"/>
    <w:basedOn w:val="DefaultParagraphFont"/>
    <w:link w:val="Header"/>
    <w:uiPriority w:val="99"/>
    <w:semiHidden/>
    <w:rsid w:val="005A7AE1"/>
    <w:rPr>
      <w:rFonts w:eastAsia="Times New Roman"/>
    </w:rPr>
  </w:style>
  <w:style w:type="paragraph" w:styleId="Footer">
    <w:name w:val="footer"/>
    <w:basedOn w:val="Normal"/>
    <w:link w:val="FooterChar"/>
    <w:uiPriority w:val="99"/>
    <w:unhideWhenUsed/>
    <w:rsid w:val="005A7AE1"/>
    <w:pPr>
      <w:tabs>
        <w:tab w:val="center" w:pos="4680"/>
        <w:tab w:val="right" w:pos="9360"/>
      </w:tabs>
    </w:pPr>
  </w:style>
  <w:style w:type="character" w:customStyle="1" w:styleId="FooterChar">
    <w:name w:val="Footer Char"/>
    <w:basedOn w:val="DefaultParagraphFont"/>
    <w:link w:val="Footer"/>
    <w:uiPriority w:val="99"/>
    <w:rsid w:val="005A7AE1"/>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package" Target="embeddings/Microsoft_Office_Excel_Worksheet1.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Mitra</dc:creator>
  <cp:keywords/>
  <dc:description/>
  <cp:lastModifiedBy>Amal Mitra</cp:lastModifiedBy>
  <cp:revision>3</cp:revision>
  <dcterms:created xsi:type="dcterms:W3CDTF">2010-11-01T15:35:00Z</dcterms:created>
  <dcterms:modified xsi:type="dcterms:W3CDTF">2010-11-02T18:19:00Z</dcterms:modified>
</cp:coreProperties>
</file>